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3000"/>
        <w:jc w:val="center"/>
      </w:pPr>
      <w:r>
        <w:rPr>
          <w:rFonts w:ascii="Calibri" w:cs="Calibri" w:eastAsia="Calibri" w:hAnsi="Calibri"/>
          <w:b/>
          <w:bCs/>
          <w:color w:val="1E293B"/>
          <w:sz w:val="52"/>
          <w:szCs w:val="52"/>
        </w:rPr>
        <w:t xml:space="preserve">Information Security Policy Pack</w:t>
      </w:r>
    </w:p>
    <w:p>
      <w:pPr>
        <w:spacing w:after="200"/>
        <w:jc w:val="center"/>
      </w:pPr>
      <w:r>
        <w:rPr>
          <w:i/>
          <w:iCs/>
          <w:color w:val="64748B"/>
          <w:sz w:val="28"/>
          <w:szCs w:val="28"/>
        </w:rPr>
        <w:t xml:space="preserve">[Organisation Name]</w:t>
      </w:r>
    </w:p>
    <w:p>
      <w:pPr>
        <w:jc w:val="center"/>
      </w:pPr>
      <w:r>
        <w:rPr>
          <w:color w:val="3B82F6"/>
          <w:sz w:val="22"/>
          <w:szCs w:val="22"/>
        </w:rPr>
        <w:t xml:space="preserve">Aligned with ISO 27001:2022</w:t>
      </w:r>
    </w:p>
    <w:p>
      <w:pPr>
        <w:spacing w:before="400"/>
        <w:jc w:val="center"/>
      </w:pPr>
      <w:r>
        <w:rPr>
          <w:color w:val="94A3B8"/>
          <w:sz w:val="22"/>
          <w:szCs w:val="22"/>
        </w:rPr>
        <w:t xml:space="preserve">Version 1.0 | 2026-02-19</w:t>
      </w:r>
    </w:p>
    <w:p>
      <w:r>
        <w:br w:type="page"/>
      </w:r>
    </w:p>
    <w:p>
      <w:pPr>
        <w:pStyle w:val="Heading1"/>
        <w:spacing w:before="400" w:after="120"/>
      </w:pPr>
      <w:r>
        <w:t xml:space="preserve">1. Information Security Policy</w:t>
      </w:r>
    </w:p>
    <w:p>
      <w:pPr>
        <w:pStyle w:val="Heading2"/>
        <w:spacing w:before="300" w:after="100"/>
      </w:pPr>
      <w:r>
        <w:t xml:space="preserve">1.1 Purpose</w:t>
      </w:r>
    </w:p>
    <w:p>
      <w:pPr>
        <w:spacing w:after="120"/>
      </w:pPr>
      <w:r>
        <w:rPr>
          <w:sz w:val="22"/>
          <w:szCs w:val="22"/>
        </w:rPr>
        <w:t xml:space="preserve">This policy establishes the information security framework for [Organisation Name]. It defines management commitment to protecting information assets, sets the direction for all security activities, and ensures compliance with legal, regulatory, and contractual obligations.</w:t>
      </w:r>
    </w:p>
    <w:p>
      <w:pPr>
        <w:pStyle w:val="Heading2"/>
        <w:spacing w:before="300" w:after="100"/>
      </w:pPr>
      <w:r>
        <w:t xml:space="preserve">1.2 Scope</w:t>
      </w:r>
    </w:p>
    <w:p>
      <w:pPr>
        <w:spacing w:after="120"/>
      </w:pPr>
      <w:r>
        <w:rPr>
          <w:sz w:val="22"/>
          <w:szCs w:val="22"/>
        </w:rPr>
        <w:t xml:space="preserve">This policy applies to all employees, contractors, consultants, temporary staff, and third parties who access [Organisation Name] information systems or handle its data.</w:t>
      </w:r>
    </w:p>
    <w:p>
      <w:pPr>
        <w:pStyle w:val="Heading2"/>
        <w:spacing w:before="300" w:after="100"/>
      </w:pPr>
      <w:r>
        <w:t xml:space="preserve">1.3 Policy Statement</w:t>
      </w:r>
    </w:p>
    <w:p>
      <w:pPr>
        <w:spacing w:after="120"/>
      </w:pPr>
      <w:r>
        <w:rPr>
          <w:sz w:val="22"/>
          <w:szCs w:val="22"/>
        </w:rPr>
        <w:t xml:space="preserve">[Organisation Name] is committed to protecting the confidentiality, integrity, and availability of all information assets. Information security is the responsibility of every employee and will be supported by appropriate resources, training, and management oversight.</w:t>
      </w:r>
    </w:p>
    <w:p>
      <w:pPr>
        <w:pStyle w:val="Heading2"/>
        <w:spacing w:before="300" w:after="100"/>
      </w:pPr>
      <w:r>
        <w:t xml:space="preserve">1.4 Objectives</w:t>
      </w:r>
    </w:p>
    <w:p>
      <w:pPr>
        <w:pStyle w:val="ListParagraph"/>
        <w:numPr>
          <w:ilvl w:val="0"/>
          <w:numId w:val="1"/>
        </w:numPr>
        <w:spacing w:after="60"/>
      </w:pPr>
      <w:r>
        <w:rPr>
          <w:sz w:val="22"/>
          <w:szCs w:val="22"/>
        </w:rPr>
        <w:t xml:space="preserve">Protect information assets from unauthorised access, disclosure, modification, or destruction</w:t>
      </w:r>
    </w:p>
    <w:p>
      <w:pPr>
        <w:pStyle w:val="ListParagraph"/>
        <w:numPr>
          <w:ilvl w:val="0"/>
          <w:numId w:val="1"/>
        </w:numPr>
        <w:spacing w:after="60"/>
      </w:pPr>
      <w:r>
        <w:rPr>
          <w:sz w:val="22"/>
          <w:szCs w:val="22"/>
        </w:rPr>
        <w:t xml:space="preserve">Ensure business continuity and minimise the impact of security incidents</w:t>
      </w:r>
    </w:p>
    <w:p>
      <w:pPr>
        <w:pStyle w:val="ListParagraph"/>
        <w:numPr>
          <w:ilvl w:val="0"/>
          <w:numId w:val="1"/>
        </w:numPr>
        <w:spacing w:after="60"/>
      </w:pPr>
      <w:r>
        <w:rPr>
          <w:sz w:val="22"/>
          <w:szCs w:val="22"/>
        </w:rPr>
        <w:t xml:space="preserve">Comply with all applicable legal, regulatory, and contractual requirements</w:t>
      </w:r>
    </w:p>
    <w:p>
      <w:pPr>
        <w:pStyle w:val="ListParagraph"/>
        <w:numPr>
          <w:ilvl w:val="0"/>
          <w:numId w:val="1"/>
        </w:numPr>
        <w:spacing w:after="60"/>
      </w:pPr>
      <w:r>
        <w:rPr>
          <w:sz w:val="22"/>
          <w:szCs w:val="22"/>
        </w:rPr>
        <w:t xml:space="preserve">Foster a culture of security awareness across the organisation</w:t>
      </w:r>
    </w:p>
    <w:p>
      <w:pPr>
        <w:pStyle w:val="ListParagraph"/>
        <w:numPr>
          <w:ilvl w:val="0"/>
          <w:numId w:val="1"/>
        </w:numPr>
        <w:spacing w:after="60"/>
      </w:pPr>
      <w:r>
        <w:rPr>
          <w:sz w:val="22"/>
          <w:szCs w:val="22"/>
        </w:rPr>
        <w:t xml:space="preserve">Continuously improve the effectiveness of the ISMS</w:t>
      </w:r>
    </w:p>
    <w:p>
      <w:pPr>
        <w:pStyle w:val="Heading2"/>
        <w:spacing w:before="300" w:after="100"/>
      </w:pPr>
      <w:r>
        <w:t xml:space="preserve">1.5 Roles and Responsibilities</w:t>
      </w:r>
    </w:p>
    <w:p>
      <w:pPr>
        <w:pStyle w:val="ListParagraph"/>
        <w:numPr>
          <w:ilvl w:val="0"/>
          <w:numId w:val="1"/>
        </w:numPr>
        <w:spacing w:after="60"/>
      </w:pPr>
      <w:r>
        <w:rPr>
          <w:sz w:val="22"/>
          <w:szCs w:val="22"/>
        </w:rPr>
        <w:t xml:space="preserve">Senior Management: Approve policies, allocate resources, and demonstrate commitment to information security</w:t>
      </w:r>
    </w:p>
    <w:p>
      <w:pPr>
        <w:pStyle w:val="ListParagraph"/>
        <w:numPr>
          <w:ilvl w:val="0"/>
          <w:numId w:val="1"/>
        </w:numPr>
        <w:spacing w:after="60"/>
      </w:pPr>
      <w:r>
        <w:rPr>
          <w:sz w:val="22"/>
          <w:szCs w:val="22"/>
        </w:rPr>
        <w:t xml:space="preserve">Information Security Lead / CISO: Develop and maintain the ISMS, conduct risk assessments, and report on security posture</w:t>
      </w:r>
    </w:p>
    <w:p>
      <w:pPr>
        <w:pStyle w:val="ListParagraph"/>
        <w:numPr>
          <w:ilvl w:val="0"/>
          <w:numId w:val="1"/>
        </w:numPr>
        <w:spacing w:after="60"/>
      </w:pPr>
      <w:r>
        <w:rPr>
          <w:sz w:val="22"/>
          <w:szCs w:val="22"/>
        </w:rPr>
        <w:t xml:space="preserve">Line Managers: Ensure their teams understand and comply with security policies</w:t>
      </w:r>
    </w:p>
    <w:p>
      <w:pPr>
        <w:pStyle w:val="ListParagraph"/>
        <w:numPr>
          <w:ilvl w:val="0"/>
          <w:numId w:val="1"/>
        </w:numPr>
        <w:spacing w:after="60"/>
      </w:pPr>
      <w:r>
        <w:rPr>
          <w:sz w:val="22"/>
          <w:szCs w:val="22"/>
        </w:rPr>
        <w:t xml:space="preserve">All Employees: Follow security policies, report incidents, and complete required training</w:t>
      </w:r>
    </w:p>
    <w:p>
      <w:pPr>
        <w:pStyle w:val="Heading2"/>
        <w:spacing w:before="300" w:after="100"/>
      </w:pPr>
      <w:r>
        <w:t xml:space="preserve">1.6 Review</w:t>
      </w:r>
    </w:p>
    <w:p>
      <w:pPr>
        <w:spacing w:after="120"/>
      </w:pPr>
      <w:r>
        <w:rPr>
          <w:sz w:val="22"/>
          <w:szCs w:val="22"/>
        </w:rPr>
        <w:t xml:space="preserve">This policy will be reviewed at least annually or following significant changes to the organisation, its threats, or the regulatory environment.</w:t>
      </w:r>
    </w:p>
    <w:p>
      <w:pPr>
        <w:spacing w:after="120"/>
      </w:pPr>
      <w:r>
        <w:rPr>
          <w:sz w:val="22"/>
          <w:szCs w:val="22"/>
        </w:rPr>
        <w:t xml:space="preserve"/>
      </w:r>
    </w:p>
    <w:p>
      <w:r>
        <w:br w:type="page"/>
      </w:r>
    </w:p>
    <w:p>
      <w:pPr>
        <w:pStyle w:val="Heading1"/>
        <w:spacing w:before="400" w:after="120"/>
      </w:pPr>
      <w:r>
        <w:t xml:space="preserve">2. Acceptable Use Policy</w:t>
      </w:r>
    </w:p>
    <w:p>
      <w:pPr>
        <w:pStyle w:val="Heading2"/>
        <w:spacing w:before="300" w:after="100"/>
      </w:pPr>
      <w:r>
        <w:t xml:space="preserve">2.1 Purpose</w:t>
      </w:r>
    </w:p>
    <w:p>
      <w:pPr>
        <w:spacing w:after="120"/>
      </w:pPr>
      <w:r>
        <w:rPr>
          <w:sz w:val="22"/>
          <w:szCs w:val="22"/>
        </w:rPr>
        <w:t xml:space="preserve">This policy defines the acceptable use of [Organisation Name] information systems, networks, and data. It protects the organisation and its employees from the risks associated with misuse.</w:t>
      </w:r>
    </w:p>
    <w:p>
      <w:pPr>
        <w:pStyle w:val="Heading2"/>
        <w:spacing w:before="300" w:after="100"/>
      </w:pPr>
      <w:r>
        <w:t xml:space="preserve">2.2 General Use</w:t>
      </w:r>
    </w:p>
    <w:p>
      <w:pPr>
        <w:pStyle w:val="ListParagraph"/>
        <w:numPr>
          <w:ilvl w:val="0"/>
          <w:numId w:val="1"/>
        </w:numPr>
        <w:spacing w:after="60"/>
      </w:pPr>
      <w:r>
        <w:rPr>
          <w:sz w:val="22"/>
          <w:szCs w:val="22"/>
        </w:rPr>
        <w:t xml:space="preserve">Organisation systems are provided for business purposes. Limited personal use is permitted provided it does not interfere with work duties or violate any policy.</w:t>
      </w:r>
    </w:p>
    <w:p>
      <w:pPr>
        <w:pStyle w:val="ListParagraph"/>
        <w:numPr>
          <w:ilvl w:val="0"/>
          <w:numId w:val="1"/>
        </w:numPr>
        <w:spacing w:after="60"/>
      </w:pPr>
      <w:r>
        <w:rPr>
          <w:sz w:val="22"/>
          <w:szCs w:val="22"/>
        </w:rPr>
        <w:t xml:space="preserve">Users must not use organisation systems for illegal activities, harassment, discrimination, or any activity that could damage the organisation's reputation.</w:t>
      </w:r>
    </w:p>
    <w:p>
      <w:pPr>
        <w:pStyle w:val="ListParagraph"/>
        <w:numPr>
          <w:ilvl w:val="0"/>
          <w:numId w:val="1"/>
        </w:numPr>
        <w:spacing w:after="60"/>
      </w:pPr>
      <w:r>
        <w:rPr>
          <w:sz w:val="22"/>
          <w:szCs w:val="22"/>
        </w:rPr>
        <w:t xml:space="preserve">Users must not install unauthorised software or modify system configurations without IT approval.</w:t>
      </w:r>
    </w:p>
    <w:p>
      <w:pPr>
        <w:pStyle w:val="Heading2"/>
        <w:spacing w:before="300" w:after="100"/>
      </w:pPr>
      <w:r>
        <w:t xml:space="preserve">2.3 Email and Communications</w:t>
      </w:r>
    </w:p>
    <w:p>
      <w:pPr>
        <w:pStyle w:val="ListParagraph"/>
        <w:numPr>
          <w:ilvl w:val="0"/>
          <w:numId w:val="1"/>
        </w:numPr>
        <w:spacing w:after="60"/>
      </w:pPr>
      <w:r>
        <w:rPr>
          <w:sz w:val="22"/>
          <w:szCs w:val="22"/>
        </w:rPr>
        <w:t xml:space="preserve">Email systems are for business communication. Users should exercise caution with attachments and links from unknown sources.</w:t>
      </w:r>
    </w:p>
    <w:p>
      <w:pPr>
        <w:pStyle w:val="ListParagraph"/>
        <w:numPr>
          <w:ilvl w:val="0"/>
          <w:numId w:val="1"/>
        </w:numPr>
        <w:spacing w:after="60"/>
      </w:pPr>
      <w:r>
        <w:rPr>
          <w:sz w:val="22"/>
          <w:szCs w:val="22"/>
        </w:rPr>
        <w:t xml:space="preserve">Sensitive data must not be sent via unencrypted email. Use approved encryption tools for confidential communications.</w:t>
      </w:r>
    </w:p>
    <w:p>
      <w:pPr>
        <w:pStyle w:val="ListParagraph"/>
        <w:numPr>
          <w:ilvl w:val="0"/>
          <w:numId w:val="1"/>
        </w:numPr>
        <w:spacing w:after="60"/>
      </w:pPr>
      <w:r>
        <w:rPr>
          <w:sz w:val="22"/>
          <w:szCs w:val="22"/>
        </w:rPr>
        <w:t xml:space="preserve">Auto-forwarding of organisation email to personal accounts is prohibited.</w:t>
      </w:r>
    </w:p>
    <w:p>
      <w:pPr>
        <w:pStyle w:val="Heading2"/>
        <w:spacing w:before="300" w:after="100"/>
      </w:pPr>
      <w:r>
        <w:t xml:space="preserve">2.4 Internet Use</w:t>
      </w:r>
    </w:p>
    <w:p>
      <w:pPr>
        <w:pStyle w:val="ListParagraph"/>
        <w:numPr>
          <w:ilvl w:val="0"/>
          <w:numId w:val="1"/>
        </w:numPr>
        <w:spacing w:after="60"/>
      </w:pPr>
      <w:r>
        <w:rPr>
          <w:sz w:val="22"/>
          <w:szCs w:val="22"/>
        </w:rPr>
        <w:t xml:space="preserve">Internet access is provided for business purposes. Accessing inappropriate, illegal, or malicious websites is prohibited.</w:t>
      </w:r>
    </w:p>
    <w:p>
      <w:pPr>
        <w:pStyle w:val="ListParagraph"/>
        <w:numPr>
          <w:ilvl w:val="0"/>
          <w:numId w:val="1"/>
        </w:numPr>
        <w:spacing w:after="60"/>
      </w:pPr>
      <w:r>
        <w:rPr>
          <w:sz w:val="22"/>
          <w:szCs w:val="22"/>
        </w:rPr>
        <w:t xml:space="preserve">Downloading files from untrusted sources is prohibited. All downloads should be scanned for malware.</w:t>
      </w:r>
    </w:p>
    <w:p>
      <w:pPr>
        <w:pStyle w:val="ListParagraph"/>
        <w:numPr>
          <w:ilvl w:val="0"/>
          <w:numId w:val="1"/>
        </w:numPr>
        <w:spacing w:after="60"/>
      </w:pPr>
      <w:r>
        <w:rPr>
          <w:sz w:val="22"/>
          <w:szCs w:val="22"/>
        </w:rPr>
        <w:t xml:space="preserve">Use of anonymising proxies or VPNs to bypass security controls is prohibited.</w:t>
      </w:r>
    </w:p>
    <w:p>
      <w:pPr>
        <w:pStyle w:val="Heading2"/>
        <w:spacing w:before="300" w:after="100"/>
      </w:pPr>
      <w:r>
        <w:t xml:space="preserve">2.5 Mobile Devices and Remote Working</w:t>
      </w:r>
    </w:p>
    <w:p>
      <w:pPr>
        <w:pStyle w:val="ListParagraph"/>
        <w:numPr>
          <w:ilvl w:val="0"/>
          <w:numId w:val="1"/>
        </w:numPr>
        <w:spacing w:after="60"/>
      </w:pPr>
      <w:r>
        <w:rPr>
          <w:sz w:val="22"/>
          <w:szCs w:val="22"/>
        </w:rPr>
        <w:t xml:space="preserve">Mobile devices accessing organisation data must be secured with screen lock, encryption, and remote wipe capability.</w:t>
      </w:r>
    </w:p>
    <w:p>
      <w:pPr>
        <w:pStyle w:val="ListParagraph"/>
        <w:numPr>
          <w:ilvl w:val="0"/>
          <w:numId w:val="1"/>
        </w:numPr>
        <w:spacing w:after="60"/>
      </w:pPr>
      <w:r>
        <w:rPr>
          <w:sz w:val="22"/>
          <w:szCs w:val="22"/>
        </w:rPr>
        <w:t xml:space="preserve">Public Wi-Fi must not be used to access sensitive systems without an approved VPN connection.</w:t>
      </w:r>
    </w:p>
    <w:p>
      <w:pPr>
        <w:pStyle w:val="ListParagraph"/>
        <w:numPr>
          <w:ilvl w:val="0"/>
          <w:numId w:val="1"/>
        </w:numPr>
        <w:spacing w:after="60"/>
      </w:pPr>
      <w:r>
        <w:rPr>
          <w:sz w:val="22"/>
          <w:szCs w:val="22"/>
        </w:rPr>
        <w:t xml:space="preserve">Organisation data must not be stored on personal devices unless explicitly approved and protected by MDM.</w:t>
      </w:r>
    </w:p>
    <w:p>
      <w:pPr>
        <w:pStyle w:val="Heading2"/>
        <w:spacing w:before="300" w:after="100"/>
      </w:pPr>
      <w:r>
        <w:t xml:space="preserve">2.6 Enforcement</w:t>
      </w:r>
    </w:p>
    <w:p>
      <w:pPr>
        <w:spacing w:after="120"/>
      </w:pPr>
      <w:r>
        <w:rPr>
          <w:sz w:val="22"/>
          <w:szCs w:val="22"/>
        </w:rPr>
        <w:t xml:space="preserve">Violations of this policy may result in disciplinary action up to and including termination of employment, and may also result in legal action where appropriate.</w:t>
      </w:r>
    </w:p>
    <w:p>
      <w:pPr>
        <w:spacing w:after="120"/>
      </w:pPr>
      <w:r>
        <w:rPr>
          <w:sz w:val="22"/>
          <w:szCs w:val="22"/>
        </w:rPr>
        <w:t xml:space="preserve"/>
      </w:r>
    </w:p>
    <w:p>
      <w:r>
        <w:br w:type="page"/>
      </w:r>
    </w:p>
    <w:p>
      <w:pPr>
        <w:pStyle w:val="Heading1"/>
        <w:spacing w:before="400" w:after="120"/>
      </w:pPr>
      <w:r>
        <w:t xml:space="preserve">3. Access Control Policy</w:t>
      </w:r>
    </w:p>
    <w:p>
      <w:pPr>
        <w:pStyle w:val="Heading2"/>
        <w:spacing w:before="300" w:after="100"/>
      </w:pPr>
      <w:r>
        <w:t xml:space="preserve">3.1 Purpose</w:t>
      </w:r>
    </w:p>
    <w:p>
      <w:pPr>
        <w:spacing w:after="120"/>
      </w:pPr>
      <w:r>
        <w:rPr>
          <w:sz w:val="22"/>
          <w:szCs w:val="22"/>
        </w:rPr>
        <w:t xml:space="preserve">This policy establishes the rules for granting, modifying, and revoking access to information systems and data. Access is granted based on the principles of least privilege and need-to-know.</w:t>
      </w:r>
    </w:p>
    <w:p>
      <w:pPr>
        <w:pStyle w:val="Heading2"/>
        <w:spacing w:before="300" w:after="100"/>
      </w:pPr>
      <w:r>
        <w:t xml:space="preserve">3.2 User Access Management</w:t>
      </w:r>
    </w:p>
    <w:p>
      <w:pPr>
        <w:pStyle w:val="ListParagraph"/>
        <w:numPr>
          <w:ilvl w:val="0"/>
          <w:numId w:val="1"/>
        </w:numPr>
        <w:spacing w:after="60"/>
      </w:pPr>
      <w:r>
        <w:rPr>
          <w:sz w:val="22"/>
          <w:szCs w:val="22"/>
        </w:rPr>
        <w:t xml:space="preserve">All access must be formally requested and approved by the system owner or line manager before being provisioned.</w:t>
      </w:r>
    </w:p>
    <w:p>
      <w:pPr>
        <w:pStyle w:val="ListParagraph"/>
        <w:numPr>
          <w:ilvl w:val="0"/>
          <w:numId w:val="1"/>
        </w:numPr>
        <w:spacing w:after="60"/>
      </w:pPr>
      <w:r>
        <w:rPr>
          <w:sz w:val="22"/>
          <w:szCs w:val="22"/>
        </w:rPr>
        <w:t xml:space="preserve">Access rights must be reviewed at least quarterly for privileged accounts and semi-annually for standard accounts.</w:t>
      </w:r>
    </w:p>
    <w:p>
      <w:pPr>
        <w:pStyle w:val="ListParagraph"/>
        <w:numPr>
          <w:ilvl w:val="0"/>
          <w:numId w:val="1"/>
        </w:numPr>
        <w:spacing w:after="60"/>
      </w:pPr>
      <w:r>
        <w:rPr>
          <w:sz w:val="22"/>
          <w:szCs w:val="22"/>
        </w:rPr>
        <w:t xml:space="preserve">When an employee changes role, their access rights must be reviewed and adjusted within five business days.</w:t>
      </w:r>
    </w:p>
    <w:p>
      <w:pPr>
        <w:pStyle w:val="ListParagraph"/>
        <w:numPr>
          <w:ilvl w:val="0"/>
          <w:numId w:val="1"/>
        </w:numPr>
        <w:spacing w:after="60"/>
      </w:pPr>
      <w:r>
        <w:rPr>
          <w:sz w:val="22"/>
          <w:szCs w:val="22"/>
        </w:rPr>
        <w:t xml:space="preserve">When an employee leaves the organisation, all access must be revoked on or before their last working day.</w:t>
      </w:r>
    </w:p>
    <w:p>
      <w:pPr>
        <w:pStyle w:val="Heading2"/>
        <w:spacing w:before="300" w:after="100"/>
      </w:pPr>
      <w:r>
        <w:t xml:space="preserve">3.3 Authentication</w:t>
      </w:r>
    </w:p>
    <w:p>
      <w:pPr>
        <w:pStyle w:val="ListParagraph"/>
        <w:numPr>
          <w:ilvl w:val="0"/>
          <w:numId w:val="1"/>
        </w:numPr>
        <w:spacing w:after="60"/>
      </w:pPr>
      <w:r>
        <w:rPr>
          <w:sz w:val="22"/>
          <w:szCs w:val="22"/>
        </w:rPr>
        <w:t xml:space="preserve">All users must authenticate using unique credentials. Shared accounts are prohibited except where a documented business justification exists and compensating controls are in place.</w:t>
      </w:r>
    </w:p>
    <w:p>
      <w:pPr>
        <w:pStyle w:val="ListParagraph"/>
        <w:numPr>
          <w:ilvl w:val="0"/>
          <w:numId w:val="1"/>
        </w:numPr>
        <w:spacing w:after="60"/>
      </w:pPr>
      <w:r>
        <w:rPr>
          <w:sz w:val="22"/>
          <w:szCs w:val="22"/>
        </w:rPr>
        <w:t xml:space="preserve">Multi-factor authentication (MFA) is mandatory for: all remote access, all administrator accounts, all access to systems containing sensitive data.</w:t>
      </w:r>
    </w:p>
    <w:p>
      <w:pPr>
        <w:pStyle w:val="ListParagraph"/>
        <w:numPr>
          <w:ilvl w:val="0"/>
          <w:numId w:val="1"/>
        </w:numPr>
        <w:spacing w:after="60"/>
      </w:pPr>
      <w:r>
        <w:rPr>
          <w:sz w:val="22"/>
          <w:szCs w:val="22"/>
        </w:rPr>
        <w:t xml:space="preserve">Passwords must meet the organisation's complexity requirements: minimum 12 characters, no reuse of the last 12 passwords.</w:t>
      </w:r>
    </w:p>
    <w:p>
      <w:pPr>
        <w:pStyle w:val="Heading2"/>
        <w:spacing w:before="300" w:after="100"/>
      </w:pPr>
      <w:r>
        <w:t xml:space="preserve">3.4 Privileged Access</w:t>
      </w:r>
    </w:p>
    <w:p>
      <w:pPr>
        <w:pStyle w:val="ListParagraph"/>
        <w:numPr>
          <w:ilvl w:val="0"/>
          <w:numId w:val="1"/>
        </w:numPr>
        <w:spacing w:after="60"/>
      </w:pPr>
      <w:r>
        <w:rPr>
          <w:sz w:val="22"/>
          <w:szCs w:val="22"/>
        </w:rPr>
        <w:t xml:space="preserve">Administrative and privileged accounts must be separate from standard user accounts.</w:t>
      </w:r>
    </w:p>
    <w:p>
      <w:pPr>
        <w:pStyle w:val="ListParagraph"/>
        <w:numPr>
          <w:ilvl w:val="0"/>
          <w:numId w:val="1"/>
        </w:numPr>
        <w:spacing w:after="60"/>
      </w:pPr>
      <w:r>
        <w:rPr>
          <w:sz w:val="22"/>
          <w:szCs w:val="22"/>
        </w:rPr>
        <w:t xml:space="preserve">Privileged access must be logged and monitored. All administrative actions must be traceable to an individual.</w:t>
      </w:r>
    </w:p>
    <w:p>
      <w:pPr>
        <w:pStyle w:val="ListParagraph"/>
        <w:numPr>
          <w:ilvl w:val="0"/>
          <w:numId w:val="1"/>
        </w:numPr>
        <w:spacing w:after="60"/>
      </w:pPr>
      <w:r>
        <w:rPr>
          <w:sz w:val="22"/>
          <w:szCs w:val="22"/>
        </w:rPr>
        <w:t xml:space="preserve">Privileged access must be reviewed monthly and revoked immediately when no longer required.</w:t>
      </w:r>
    </w:p>
    <w:p>
      <w:pPr>
        <w:spacing w:after="120"/>
      </w:pPr>
      <w:r>
        <w:rPr>
          <w:sz w:val="22"/>
          <w:szCs w:val="22"/>
        </w:rPr>
        <w:t xml:space="preserve"/>
      </w:r>
    </w:p>
    <w:p>
      <w:r>
        <w:br w:type="page"/>
      </w:r>
    </w:p>
    <w:p>
      <w:pPr>
        <w:pStyle w:val="Heading1"/>
        <w:spacing w:before="400" w:after="120"/>
      </w:pPr>
      <w:r>
        <w:t xml:space="preserve">4. Data Classification Policy</w:t>
      </w:r>
    </w:p>
    <w:p>
      <w:pPr>
        <w:pStyle w:val="Heading2"/>
        <w:spacing w:before="300" w:after="100"/>
      </w:pPr>
      <w:r>
        <w:t xml:space="preserve">4.1 Purpose</w:t>
      </w:r>
    </w:p>
    <w:p>
      <w:pPr>
        <w:spacing w:after="120"/>
      </w:pPr>
      <w:r>
        <w:rPr>
          <w:sz w:val="22"/>
          <w:szCs w:val="22"/>
        </w:rPr>
        <w:t xml:space="preserve">This policy defines the classification levels used to categorise information and the handling requirements for each level.</w:t>
      </w:r>
    </w:p>
    <w:p>
      <w:pPr>
        <w:pStyle w:val="Heading2"/>
        <w:spacing w:before="300" w:after="100"/>
      </w:pPr>
      <w:r>
        <w:t xml:space="preserve">4.2 Classification Levels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c>
          <w:tcPr>
            <w:tcW w:type="pct" w:w="25%"/>
            <w:shd w:fill="1E293B" w:color="1E293B" w:val="solid"/>
          </w:tcPr>
          <w:p>
            <w:r>
              <w:rPr>
                <w:rFonts w:ascii="Calibri" w:cs="Calibri" w:eastAsia="Calibri" w:hAnsi="Calibri"/>
                <w:b/>
                <w:bCs/>
                <w:color w:val="FFFFFF"/>
                <w:sz w:val="20"/>
                <w:szCs w:val="20"/>
              </w:rPr>
              <w:t xml:space="preserve">Level</w:t>
            </w:r>
          </w:p>
        </w:tc>
        <w:tc>
          <w:tcPr>
            <w:tcW w:type="pct" w:w="25%"/>
            <w:shd w:fill="1E293B" w:color="1E293B" w:val="solid"/>
          </w:tcPr>
          <w:p>
            <w:r>
              <w:rPr>
                <w:rFonts w:ascii="Calibri" w:cs="Calibri" w:eastAsia="Calibri" w:hAnsi="Calibri"/>
                <w:b/>
                <w:bCs/>
                <w:color w:val="FFFFFF"/>
                <w:sz w:val="20"/>
                <w:szCs w:val="20"/>
              </w:rPr>
              <w:t xml:space="preserve">Definition</w:t>
            </w:r>
          </w:p>
        </w:tc>
        <w:tc>
          <w:tcPr>
            <w:tcW w:type="pct" w:w="25%"/>
            <w:shd w:fill="1E293B" w:color="1E293B" w:val="solid"/>
          </w:tcPr>
          <w:p>
            <w:r>
              <w:rPr>
                <w:rFonts w:ascii="Calibri" w:cs="Calibri" w:eastAsia="Calibri" w:hAnsi="Calibri"/>
                <w:b/>
                <w:bCs/>
                <w:color w:val="FFFFFF"/>
                <w:sz w:val="20"/>
                <w:szCs w:val="20"/>
              </w:rPr>
              <w:t xml:space="preserve">Examples</w:t>
            </w:r>
          </w:p>
        </w:tc>
        <w:tc>
          <w:tcPr>
            <w:tcW w:type="pct" w:w="25%"/>
            <w:shd w:fill="1E293B" w:color="1E293B" w:val="solid"/>
          </w:tcPr>
          <w:p>
            <w:r>
              <w:rPr>
                <w:rFonts w:ascii="Calibri" w:cs="Calibri" w:eastAsia="Calibri" w:hAnsi="Calibri"/>
                <w:b/>
                <w:bCs/>
                <w:color w:val="FFFFFF"/>
                <w:sz w:val="20"/>
                <w:szCs w:val="20"/>
              </w:rPr>
              <w:t xml:space="preserve">Handling</w:t>
            </w:r>
          </w:p>
        </w:tc>
      </w:tr>
      <w:tr>
        <w:tc>
          <w:tcPr>
            <w:tcW w:type="pct" w:w="25%"/>
          </w:tcPr>
          <w:p>
            <w:r>
              <w:rPr>
                <w:rFonts w:ascii="Calibri" w:cs="Calibri" w:eastAsia="Calibri" w:hAnsi="Calibri"/>
                <w:b w:val="false"/>
                <w:bCs w:val="false"/>
                <w:color w:val="1E293B"/>
                <w:sz w:val="20"/>
                <w:szCs w:val="20"/>
              </w:rPr>
              <w:t xml:space="preserve">Public</w:t>
            </w:r>
          </w:p>
        </w:tc>
        <w:tc>
          <w:tcPr>
            <w:tcW w:type="pct" w:w="25%"/>
          </w:tcPr>
          <w:p>
            <w:r>
              <w:rPr>
                <w:rFonts w:ascii="Calibri" w:cs="Calibri" w:eastAsia="Calibri" w:hAnsi="Calibri"/>
                <w:b w:val="false"/>
                <w:bCs w:val="false"/>
                <w:color w:val="1E293B"/>
                <w:sz w:val="20"/>
                <w:szCs w:val="20"/>
              </w:rPr>
              <w:t xml:space="preserve">Information intended for unrestricted distribution</w:t>
            </w:r>
          </w:p>
        </w:tc>
        <w:tc>
          <w:tcPr>
            <w:tcW w:type="pct" w:w="25%"/>
          </w:tcPr>
          <w:p>
            <w:r>
              <w:rPr>
                <w:rFonts w:ascii="Calibri" w:cs="Calibri" w:eastAsia="Calibri" w:hAnsi="Calibri"/>
                <w:b w:val="false"/>
                <w:bCs w:val="false"/>
                <w:color w:val="1E293B"/>
                <w:sz w:val="20"/>
                <w:szCs w:val="20"/>
              </w:rPr>
              <w:t xml:space="preserve">Marketing materials, published reports</w:t>
            </w:r>
          </w:p>
        </w:tc>
        <w:tc>
          <w:tcPr>
            <w:tcW w:type="pct" w:w="25%"/>
          </w:tcPr>
          <w:p>
            <w:r>
              <w:rPr>
                <w:rFonts w:ascii="Calibri" w:cs="Calibri" w:eastAsia="Calibri" w:hAnsi="Calibri"/>
                <w:b w:val="false"/>
                <w:bCs w:val="false"/>
                <w:color w:val="1E293B"/>
                <w:sz w:val="20"/>
                <w:szCs w:val="20"/>
              </w:rPr>
              <w:t xml:space="preserve">No restrictions on distribution</w:t>
            </w:r>
          </w:p>
        </w:tc>
      </w:tr>
      <w:tr>
        <w:tc>
          <w:tcPr>
            <w:tcW w:type="pct" w:w="25%"/>
            <w:shd w:fill="F8FAFC" w:color="F8FAFC" w:val="solid"/>
          </w:tcPr>
          <w:p>
            <w:r>
              <w:rPr>
                <w:rFonts w:ascii="Calibri" w:cs="Calibri" w:eastAsia="Calibri" w:hAnsi="Calibri"/>
                <w:b w:val="false"/>
                <w:bCs w:val="false"/>
                <w:color w:val="1E293B"/>
                <w:sz w:val="20"/>
                <w:szCs w:val="20"/>
              </w:rPr>
              <w:t xml:space="preserve">Internal</w:t>
            </w:r>
          </w:p>
        </w:tc>
        <w:tc>
          <w:tcPr>
            <w:tcW w:type="pct" w:w="25%"/>
            <w:shd w:fill="F8FAFC" w:color="F8FAFC" w:val="solid"/>
          </w:tcPr>
          <w:p>
            <w:r>
              <w:rPr>
                <w:rFonts w:ascii="Calibri" w:cs="Calibri" w:eastAsia="Calibri" w:hAnsi="Calibri"/>
                <w:b w:val="false"/>
                <w:bCs w:val="false"/>
                <w:color w:val="1E293B"/>
                <w:sz w:val="20"/>
                <w:szCs w:val="20"/>
              </w:rPr>
              <w:t xml:space="preserve">Information for internal use that would cause minimal harm if disclosed</w:t>
            </w:r>
          </w:p>
        </w:tc>
        <w:tc>
          <w:tcPr>
            <w:tcW w:type="pct" w:w="25%"/>
            <w:shd w:fill="F8FAFC" w:color="F8FAFC" w:val="solid"/>
          </w:tcPr>
          <w:p>
            <w:r>
              <w:rPr>
                <w:rFonts w:ascii="Calibri" w:cs="Calibri" w:eastAsia="Calibri" w:hAnsi="Calibri"/>
                <w:b w:val="false"/>
                <w:bCs w:val="false"/>
                <w:color w:val="1E293B"/>
                <w:sz w:val="20"/>
                <w:szCs w:val="20"/>
              </w:rPr>
              <w:t xml:space="preserve">Internal memos, org charts, meeting notes</w:t>
            </w:r>
          </w:p>
        </w:tc>
        <w:tc>
          <w:tcPr>
            <w:tcW w:type="pct" w:w="25%"/>
            <w:shd w:fill="F8FAFC" w:color="F8FAFC" w:val="solid"/>
          </w:tcPr>
          <w:p>
            <w:r>
              <w:rPr>
                <w:rFonts w:ascii="Calibri" w:cs="Calibri" w:eastAsia="Calibri" w:hAnsi="Calibri"/>
                <w:b w:val="false"/>
                <w:bCs w:val="false"/>
                <w:color w:val="1E293B"/>
                <w:sz w:val="20"/>
                <w:szCs w:val="20"/>
              </w:rPr>
              <w:t xml:space="preserve">Do not share outside the organisation without approval</w:t>
            </w:r>
          </w:p>
        </w:tc>
      </w:tr>
      <w:tr>
        <w:tc>
          <w:tcPr>
            <w:tcW w:type="pct" w:w="25%"/>
          </w:tcPr>
          <w:p>
            <w:r>
              <w:rPr>
                <w:rFonts w:ascii="Calibri" w:cs="Calibri" w:eastAsia="Calibri" w:hAnsi="Calibri"/>
                <w:b w:val="false"/>
                <w:bCs w:val="false"/>
                <w:color w:val="1E293B"/>
                <w:sz w:val="20"/>
                <w:szCs w:val="20"/>
              </w:rPr>
              <w:t xml:space="preserve">Confidential</w:t>
            </w:r>
          </w:p>
        </w:tc>
        <w:tc>
          <w:tcPr>
            <w:tcW w:type="pct" w:w="25%"/>
          </w:tcPr>
          <w:p>
            <w:r>
              <w:rPr>
                <w:rFonts w:ascii="Calibri" w:cs="Calibri" w:eastAsia="Calibri" w:hAnsi="Calibri"/>
                <w:b w:val="false"/>
                <w:bCs w:val="false"/>
                <w:color w:val="1E293B"/>
                <w:sz w:val="20"/>
                <w:szCs w:val="20"/>
              </w:rPr>
              <w:t xml:space="preserve">Information that could cause harm to the organisation or individuals if disclosed</w:t>
            </w:r>
          </w:p>
        </w:tc>
        <w:tc>
          <w:tcPr>
            <w:tcW w:type="pct" w:w="25%"/>
          </w:tcPr>
          <w:p>
            <w:r>
              <w:rPr>
                <w:rFonts w:ascii="Calibri" w:cs="Calibri" w:eastAsia="Calibri" w:hAnsi="Calibri"/>
                <w:b w:val="false"/>
                <w:bCs w:val="false"/>
                <w:color w:val="1E293B"/>
                <w:sz w:val="20"/>
                <w:szCs w:val="20"/>
              </w:rPr>
              <w:t xml:space="preserve">Customer data, financial records, employee records, contracts</w:t>
            </w:r>
          </w:p>
        </w:tc>
        <w:tc>
          <w:tcPr>
            <w:tcW w:type="pct" w:w="25%"/>
          </w:tcPr>
          <w:p>
            <w:r>
              <w:rPr>
                <w:rFonts w:ascii="Calibri" w:cs="Calibri" w:eastAsia="Calibri" w:hAnsi="Calibri"/>
                <w:b w:val="false"/>
                <w:bCs w:val="false"/>
                <w:color w:val="1E293B"/>
                <w:sz w:val="20"/>
                <w:szCs w:val="20"/>
              </w:rPr>
              <w:t xml:space="preserve">Encrypt in transit and at rest. Access restricted to authorised personnel.</w:t>
            </w:r>
          </w:p>
        </w:tc>
      </w:tr>
      <w:tr>
        <w:tc>
          <w:tcPr>
            <w:tcW w:type="pct" w:w="25%"/>
            <w:shd w:fill="F8FAFC" w:color="F8FAFC" w:val="solid"/>
          </w:tcPr>
          <w:p>
            <w:r>
              <w:rPr>
                <w:rFonts w:ascii="Calibri" w:cs="Calibri" w:eastAsia="Calibri" w:hAnsi="Calibri"/>
                <w:b w:val="false"/>
                <w:bCs w:val="false"/>
                <w:color w:val="1E293B"/>
                <w:sz w:val="20"/>
                <w:szCs w:val="20"/>
              </w:rPr>
              <w:t xml:space="preserve">Restricted</w:t>
            </w:r>
          </w:p>
        </w:tc>
        <w:tc>
          <w:tcPr>
            <w:tcW w:type="pct" w:w="25%"/>
            <w:shd w:fill="F8FAFC" w:color="F8FAFC" w:val="solid"/>
          </w:tcPr>
          <w:p>
            <w:r>
              <w:rPr>
                <w:rFonts w:ascii="Calibri" w:cs="Calibri" w:eastAsia="Calibri" w:hAnsi="Calibri"/>
                <w:b w:val="false"/>
                <w:bCs w:val="false"/>
                <w:color w:val="1E293B"/>
                <w:sz w:val="20"/>
                <w:szCs w:val="20"/>
              </w:rPr>
              <w:t xml:space="preserve">Highly sensitive information requiring the strongest protections</w:t>
            </w:r>
          </w:p>
        </w:tc>
        <w:tc>
          <w:tcPr>
            <w:tcW w:type="pct" w:w="25%"/>
            <w:shd w:fill="F8FAFC" w:color="F8FAFC" w:val="solid"/>
          </w:tcPr>
          <w:p>
            <w:r>
              <w:rPr>
                <w:rFonts w:ascii="Calibri" w:cs="Calibri" w:eastAsia="Calibri" w:hAnsi="Calibri"/>
                <w:b w:val="false"/>
                <w:bCs w:val="false"/>
                <w:color w:val="1E293B"/>
                <w:sz w:val="20"/>
                <w:szCs w:val="20"/>
              </w:rPr>
              <w:t xml:space="preserve">Encryption keys, authentication secrets, board-level strategy, M&amp;A data</w:t>
            </w:r>
          </w:p>
        </w:tc>
        <w:tc>
          <w:tcPr>
            <w:tcW w:type="pct" w:w="25%"/>
            <w:shd w:fill="F8FAFC" w:color="F8FAFC" w:val="solid"/>
          </w:tcPr>
          <w:p>
            <w:r>
              <w:rPr>
                <w:rFonts w:ascii="Calibri" w:cs="Calibri" w:eastAsia="Calibri" w:hAnsi="Calibri"/>
                <w:b w:val="false"/>
                <w:bCs w:val="false"/>
                <w:color w:val="1E293B"/>
                <w:sz w:val="20"/>
                <w:szCs w:val="20"/>
              </w:rPr>
              <w:t xml:space="preserve">Strict need-to-know access. Encrypted everywhere. No external sharing without executive approval.</w:t>
            </w:r>
          </w:p>
        </w:tc>
      </w:tr>
    </w:tbl>
    <w:p>
      <w:pPr>
        <w:pStyle w:val="Heading2"/>
        <w:spacing w:before="300" w:after="100"/>
      </w:pPr>
      <w:r>
        <w:t xml:space="preserve">4.3 Classification Responsibilities</w:t>
      </w:r>
    </w:p>
    <w:p>
      <w:pPr>
        <w:pStyle w:val="ListParagraph"/>
        <w:numPr>
          <w:ilvl w:val="0"/>
          <w:numId w:val="1"/>
        </w:numPr>
        <w:spacing w:after="60"/>
      </w:pPr>
      <w:r>
        <w:rPr>
          <w:sz w:val="22"/>
          <w:szCs w:val="22"/>
        </w:rPr>
        <w:t xml:space="preserve">Data owners are responsible for classifying the data they create or manage.</w:t>
      </w:r>
    </w:p>
    <w:p>
      <w:pPr>
        <w:pStyle w:val="ListParagraph"/>
        <w:numPr>
          <w:ilvl w:val="0"/>
          <w:numId w:val="1"/>
        </w:numPr>
        <w:spacing w:after="60"/>
      </w:pPr>
      <w:r>
        <w:rPr>
          <w:sz w:val="22"/>
          <w:szCs w:val="22"/>
        </w:rPr>
        <w:t xml:space="preserve">When in doubt, classify at the higher level until a formal classification decision is made.</w:t>
      </w:r>
    </w:p>
    <w:p>
      <w:pPr>
        <w:pStyle w:val="ListParagraph"/>
        <w:numPr>
          <w:ilvl w:val="0"/>
          <w:numId w:val="1"/>
        </w:numPr>
        <w:spacing w:after="60"/>
      </w:pPr>
      <w:r>
        <w:rPr>
          <w:sz w:val="22"/>
          <w:szCs w:val="22"/>
        </w:rPr>
        <w:t xml:space="preserve">Classification must be reviewed when the purpose of the data changes or when retention periods expire.</w:t>
      </w:r>
    </w:p>
    <w:p>
      <w:pPr>
        <w:pStyle w:val="Heading2"/>
        <w:spacing w:before="300" w:after="100"/>
      </w:pPr>
      <w:r>
        <w:t xml:space="preserve">4.4 Labelling</w:t>
      </w:r>
    </w:p>
    <w:p>
      <w:pPr>
        <w:spacing w:after="120"/>
      </w:pPr>
      <w:r>
        <w:rPr>
          <w:sz w:val="22"/>
          <w:szCs w:val="22"/>
        </w:rPr>
        <w:t xml:space="preserve">Documents must display their classification level. Digital documents should include the classification in the header or footer. Emails containing Confidential or Restricted data must include the classification in the subject line.</w:t>
      </w:r>
    </w:p>
    <w:p>
      <w:pPr>
        <w:spacing w:after="120"/>
      </w:pPr>
      <w:r>
        <w:rPr>
          <w:sz w:val="22"/>
          <w:szCs w:val="22"/>
        </w:rPr>
        <w:t xml:space="preserve"/>
      </w:r>
    </w:p>
    <w:p>
      <w:r>
        <w:br w:type="page"/>
      </w:r>
    </w:p>
    <w:p>
      <w:pPr>
        <w:pStyle w:val="Heading1"/>
        <w:spacing w:before="400" w:after="120"/>
      </w:pPr>
      <w:r>
        <w:t xml:space="preserve">5. Cryptography Policy</w:t>
      </w:r>
    </w:p>
    <w:p>
      <w:pPr>
        <w:pStyle w:val="Heading2"/>
        <w:spacing w:before="300" w:after="100"/>
      </w:pPr>
      <w:r>
        <w:t xml:space="preserve">5.1 Purpose</w:t>
      </w:r>
    </w:p>
    <w:p>
      <w:pPr>
        <w:spacing w:after="120"/>
      </w:pPr>
      <w:r>
        <w:rPr>
          <w:sz w:val="22"/>
          <w:szCs w:val="22"/>
        </w:rPr>
        <w:t xml:space="preserve">This policy defines the requirements for the use of cryptographic controls to protect the confidentiality, integrity, and authenticity of information.</w:t>
      </w:r>
    </w:p>
    <w:p>
      <w:pPr>
        <w:pStyle w:val="Heading2"/>
        <w:spacing w:before="300" w:after="100"/>
      </w:pPr>
      <w:r>
        <w:t xml:space="preserve">5.2 Encryption Standards</w:t>
      </w:r>
    </w:p>
    <w:p>
      <w:pPr>
        <w:pStyle w:val="ListParagraph"/>
        <w:numPr>
          <w:ilvl w:val="0"/>
          <w:numId w:val="1"/>
        </w:numPr>
        <w:spacing w:after="60"/>
      </w:pPr>
      <w:r>
        <w:rPr>
          <w:sz w:val="22"/>
          <w:szCs w:val="22"/>
        </w:rPr>
        <w:t xml:space="preserve">Data at rest: AES-256 or equivalent. This applies to databases, file storage, backups, and removable media.</w:t>
      </w:r>
    </w:p>
    <w:p>
      <w:pPr>
        <w:pStyle w:val="ListParagraph"/>
        <w:numPr>
          <w:ilvl w:val="0"/>
          <w:numId w:val="1"/>
        </w:numPr>
        <w:spacing w:after="60"/>
      </w:pPr>
      <w:r>
        <w:rPr>
          <w:sz w:val="22"/>
          <w:szCs w:val="22"/>
        </w:rPr>
        <w:t xml:space="preserve">Data in transit: TLS 1.2 or higher for all network communications. TLS 1.0 and 1.1 are prohibited.</w:t>
      </w:r>
    </w:p>
    <w:p>
      <w:pPr>
        <w:pStyle w:val="ListParagraph"/>
        <w:numPr>
          <w:ilvl w:val="0"/>
          <w:numId w:val="1"/>
        </w:numPr>
        <w:spacing w:after="60"/>
      </w:pPr>
      <w:r>
        <w:rPr>
          <w:sz w:val="22"/>
          <w:szCs w:val="22"/>
        </w:rPr>
        <w:t xml:space="preserve">Hashing: SHA-256 or stronger. MD5 and SHA-1 are prohibited for security purposes.</w:t>
      </w:r>
    </w:p>
    <w:p>
      <w:pPr>
        <w:pStyle w:val="Heading2"/>
        <w:spacing w:before="300" w:after="100"/>
      </w:pPr>
      <w:r>
        <w:t xml:space="preserve">5.3 Key Management</w:t>
      </w:r>
    </w:p>
    <w:p>
      <w:pPr>
        <w:pStyle w:val="ListParagraph"/>
        <w:numPr>
          <w:ilvl w:val="0"/>
          <w:numId w:val="1"/>
        </w:numPr>
        <w:spacing w:after="60"/>
      </w:pPr>
      <w:r>
        <w:rPr>
          <w:sz w:val="22"/>
          <w:szCs w:val="22"/>
        </w:rPr>
        <w:t xml:space="preserve">Cryptographic keys must be generated using approved methods and stored in dedicated key management systems (KMS) or hardware security modules (HSM).</w:t>
      </w:r>
    </w:p>
    <w:p>
      <w:pPr>
        <w:pStyle w:val="ListParagraph"/>
        <w:numPr>
          <w:ilvl w:val="0"/>
          <w:numId w:val="1"/>
        </w:numPr>
        <w:spacing w:after="60"/>
      </w:pPr>
      <w:r>
        <w:rPr>
          <w:sz w:val="22"/>
          <w:szCs w:val="22"/>
        </w:rPr>
        <w:t xml:space="preserve">Keys must never be stored in source code, configuration files, or alongside the data they protect.</w:t>
      </w:r>
    </w:p>
    <w:p>
      <w:pPr>
        <w:pStyle w:val="ListParagraph"/>
        <w:numPr>
          <w:ilvl w:val="0"/>
          <w:numId w:val="1"/>
        </w:numPr>
        <w:spacing w:after="60"/>
      </w:pPr>
      <w:r>
        <w:rPr>
          <w:sz w:val="22"/>
          <w:szCs w:val="22"/>
        </w:rPr>
        <w:t xml:space="preserve">Key rotation must occur at least annually for data encryption keys. More frequent rotation is required for keys protecting Restricted data.</w:t>
      </w:r>
    </w:p>
    <w:p>
      <w:pPr>
        <w:pStyle w:val="ListParagraph"/>
        <w:numPr>
          <w:ilvl w:val="0"/>
          <w:numId w:val="1"/>
        </w:numPr>
        <w:spacing w:after="60"/>
      </w:pPr>
      <w:r>
        <w:rPr>
          <w:sz w:val="22"/>
          <w:szCs w:val="22"/>
        </w:rPr>
        <w:t xml:space="preserve">Compromised keys must be revoked immediately and affected data re-encrypted.</w:t>
      </w:r>
    </w:p>
    <w:p>
      <w:pPr>
        <w:spacing w:after="120"/>
      </w:pPr>
      <w:r>
        <w:rPr>
          <w:sz w:val="22"/>
          <w:szCs w:val="22"/>
        </w:rPr>
        <w:t xml:space="preserve"/>
      </w:r>
    </w:p>
    <w:p>
      <w:r>
        <w:br w:type="page"/>
      </w:r>
    </w:p>
    <w:p>
      <w:pPr>
        <w:pStyle w:val="Heading1"/>
        <w:spacing w:before="400" w:after="120"/>
      </w:pPr>
      <w:r>
        <w:t xml:space="preserve">6. Supplier and Third-Party Security Policy</w:t>
      </w:r>
    </w:p>
    <w:p>
      <w:pPr>
        <w:pStyle w:val="Heading2"/>
        <w:spacing w:before="300" w:after="100"/>
      </w:pPr>
      <w:r>
        <w:t xml:space="preserve">6.1 Purpose</w:t>
      </w:r>
    </w:p>
    <w:p>
      <w:pPr>
        <w:spacing w:after="120"/>
      </w:pPr>
      <w:r>
        <w:rPr>
          <w:sz w:val="22"/>
          <w:szCs w:val="22"/>
        </w:rPr>
        <w:t xml:space="preserve">This policy defines the requirements for assessing and managing information security risks associated with suppliers and third-party service providers.</w:t>
      </w:r>
    </w:p>
    <w:p>
      <w:pPr>
        <w:pStyle w:val="Heading2"/>
        <w:spacing w:before="300" w:after="100"/>
      </w:pPr>
      <w:r>
        <w:t xml:space="preserve">6.2 Supplier Assessment</w:t>
      </w:r>
    </w:p>
    <w:p>
      <w:pPr>
        <w:pStyle w:val="ListParagraph"/>
        <w:numPr>
          <w:ilvl w:val="0"/>
          <w:numId w:val="1"/>
        </w:numPr>
        <w:spacing w:after="60"/>
      </w:pPr>
      <w:r>
        <w:rPr>
          <w:sz w:val="22"/>
          <w:szCs w:val="22"/>
        </w:rPr>
        <w:t xml:space="preserve">All suppliers who access, process, or store organisation data must undergo a security assessment before engagement.</w:t>
      </w:r>
    </w:p>
    <w:p>
      <w:pPr>
        <w:pStyle w:val="ListParagraph"/>
        <w:numPr>
          <w:ilvl w:val="0"/>
          <w:numId w:val="1"/>
        </w:numPr>
        <w:spacing w:after="60"/>
      </w:pPr>
      <w:r>
        <w:rPr>
          <w:sz w:val="22"/>
          <w:szCs w:val="22"/>
        </w:rPr>
        <w:t xml:space="preserve">Assessment rigour must be proportionate to the sensitivity of data shared and the criticality of the service.</w:t>
      </w:r>
    </w:p>
    <w:p>
      <w:pPr>
        <w:pStyle w:val="ListParagraph"/>
        <w:numPr>
          <w:ilvl w:val="0"/>
          <w:numId w:val="1"/>
        </w:numPr>
        <w:spacing w:after="60"/>
      </w:pPr>
      <w:r>
        <w:rPr>
          <w:sz w:val="22"/>
          <w:szCs w:val="22"/>
        </w:rPr>
        <w:t xml:space="preserve">Suppliers must demonstrate appropriate security controls through certifications (ISO 27001, SOC 2), completed security questionnaires, or audit reports.</w:t>
      </w:r>
    </w:p>
    <w:p>
      <w:pPr>
        <w:pStyle w:val="Heading2"/>
        <w:spacing w:before="300" w:after="100"/>
      </w:pPr>
      <w:r>
        <w:t xml:space="preserve">6.3 Contractual Requirements</w:t>
      </w:r>
    </w:p>
    <w:p>
      <w:pPr>
        <w:pStyle w:val="ListParagraph"/>
        <w:numPr>
          <w:ilvl w:val="0"/>
          <w:numId w:val="1"/>
        </w:numPr>
        <w:spacing w:after="60"/>
      </w:pPr>
      <w:r>
        <w:rPr>
          <w:sz w:val="22"/>
          <w:szCs w:val="22"/>
        </w:rPr>
        <w:t xml:space="preserve">Contracts must include information security requirements, data protection obligations, breach notification timelines, audit rights, and termination provisions.</w:t>
      </w:r>
    </w:p>
    <w:p>
      <w:pPr>
        <w:pStyle w:val="ListParagraph"/>
        <w:numPr>
          <w:ilvl w:val="0"/>
          <w:numId w:val="1"/>
        </w:numPr>
        <w:spacing w:after="60"/>
      </w:pPr>
      <w:r>
        <w:rPr>
          <w:sz w:val="22"/>
          <w:szCs w:val="22"/>
        </w:rPr>
        <w:t xml:space="preserve">Data processing agreements must be in place for any supplier processing personal data.</w:t>
      </w:r>
    </w:p>
    <w:p>
      <w:pPr>
        <w:pStyle w:val="Heading2"/>
        <w:spacing w:before="300" w:after="100"/>
      </w:pPr>
      <w:r>
        <w:t xml:space="preserve">6.4 Ongoing Monitoring</w:t>
      </w:r>
    </w:p>
    <w:p>
      <w:pPr>
        <w:pStyle w:val="ListParagraph"/>
        <w:numPr>
          <w:ilvl w:val="0"/>
          <w:numId w:val="1"/>
        </w:numPr>
        <w:spacing w:after="60"/>
      </w:pPr>
      <w:r>
        <w:rPr>
          <w:sz w:val="22"/>
          <w:szCs w:val="22"/>
        </w:rPr>
        <w:t xml:space="preserve">Supplier security posture must be reviewed at least annually for critical suppliers and biennially for others.</w:t>
      </w:r>
    </w:p>
    <w:p>
      <w:pPr>
        <w:pStyle w:val="ListParagraph"/>
        <w:numPr>
          <w:ilvl w:val="0"/>
          <w:numId w:val="1"/>
        </w:numPr>
        <w:spacing w:after="60"/>
      </w:pPr>
      <w:r>
        <w:rPr>
          <w:sz w:val="22"/>
          <w:szCs w:val="22"/>
        </w:rPr>
        <w:t xml:space="preserve">Suppliers must notify the organisation of any security incidents that may affect its data within 24 hours.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Calibri" w:cs="Calibri" w:eastAsia="Calibri" w:hAnsi="Calibri"/>
      <w:b/>
      <w:bCs/>
      <w:color w:val="1E293B"/>
      <w:sz w:val="32"/>
      <w:szCs w:val="32"/>
    </w:rPr>
  </w:style>
  <w:style w:type="paragraph" w:styleId="Heading2">
    <w:name w:val="Heading 2"/>
    <w:basedOn w:val="Normal"/>
    <w:next w:val="Normal"/>
    <w:qFormat/>
    <w:rPr>
      <w:rFonts w:ascii="Calibri" w:cs="Calibri" w:eastAsia="Calibri" w:hAnsi="Calibri"/>
      <w:b/>
      <w:bCs/>
      <w:color w:val="334155"/>
      <w:sz w:val="26"/>
      <w:szCs w:val="26"/>
    </w:rPr>
  </w:style>
  <w:style w:type="paragraph" w:styleId="Heading3">
    <w:name w:val="Heading 3"/>
    <w:basedOn w:val="Normal"/>
    <w:next w:val="Normal"/>
    <w:qFormat/>
    <w:rPr>
      <w:rFonts w:ascii="Calibri" w:cs="Calibri" w:eastAsia="Calibri" w:hAnsi="Calibri"/>
      <w:b/>
      <w:bCs/>
      <w:color w:val="475569"/>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27001 Information Security Policy Pack</dc:title>
  <dc:creator>AuditFront</dc:creator>
  <cp:lastModifiedBy>Un-named</cp:lastModifiedBy>
  <cp:revision>1</cp:revision>
  <dcterms:created xsi:type="dcterms:W3CDTF">2026-02-19T15:29:56.160Z</dcterms:created>
  <dcterms:modified xsi:type="dcterms:W3CDTF">2026-02-19T15:29:56.160Z</dcterms:modified>
</cp:coreProperties>
</file>

<file path=docProps/custom.xml><?xml version="1.0" encoding="utf-8"?>
<Properties xmlns="http://schemas.openxmlformats.org/officeDocument/2006/custom-properties" xmlns:vt="http://schemas.openxmlformats.org/officeDocument/2006/docPropsVTypes"/>
</file>