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r>
        <w:rPr>
          <w:rFonts w:ascii="Calibri" w:cs="Calibri" w:eastAsia="Calibri" w:hAnsi="Calibri"/>
          <w:b/>
          <w:bCs/>
          <w:color w:val="1E293B"/>
          <w:sz w:val="52"/>
          <w:szCs w:val="52"/>
        </w:rPr>
        <w:t xml:space="preserve">Incident Response Plan</w:t>
      </w:r>
    </w:p>
    <w:p>
      <w:pPr>
        <w:spacing w:after="200"/>
        <w:jc w:val="center"/>
      </w:pPr>
      <w:r>
        <w:rPr>
          <w:i/>
          <w:iCs/>
          <w:color w:val="64748B"/>
          <w:sz w:val="28"/>
          <w:szCs w:val="28"/>
        </w:rPr>
        <w:t xml:space="preserve">[Organisation Name]</w:t>
      </w:r>
    </w:p>
    <w:p>
      <w:pPr>
        <w:jc w:val="center"/>
      </w:pPr>
      <w:r>
        <w:rPr>
          <w:color w:val="DC2626"/>
          <w:sz w:val="22"/>
          <w:szCs w:val="22"/>
        </w:rPr>
        <w:t xml:space="preserve">Classification: Confidential</w:t>
      </w:r>
    </w:p>
    <w:p>
      <w:pPr>
        <w:spacing w:before="400"/>
        <w:jc w:val="center"/>
      </w:pPr>
      <w:r>
        <w:rPr>
          <w:color w:val="94A3B8"/>
          <w:sz w:val="22"/>
          <w:szCs w:val="22"/>
        </w:rPr>
        <w:t xml:space="preserve">Version 1.0 | 2026-02-19</w:t>
      </w:r>
    </w:p>
    <w:p>
      <w:r>
        <w:br w:type="page"/>
      </w:r>
    </w:p>
    <w:p>
      <w:pPr>
        <w:pStyle w:val="Heading1"/>
        <w:spacing w:before="400" w:after="120"/>
      </w:pPr>
      <w:r>
        <w:t xml:space="preserve">Document Control</w:t>
      </w:r>
    </w:p>
    <w:p>
      <w:pPr>
        <w:spacing w:after="120"/>
      </w:pPr>
      <w:r>
        <w:rPr>
          <w:sz w:val="22"/>
          <w:szCs w:val="22"/>
        </w:rPr>
        <w:t xml:space="preserve">Complete this section to track document ownership and revisions.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1E293B" w:color="1E293B" w:val="solid"/>
          </w:tcPr>
          <w:p>
            <w:r>
              <w:rPr>
                <w:rFonts w:ascii="Calibri" w:cs="Calibri" w:eastAsia="Calibri" w:hAnsi="Calibri"/>
                <w:b/>
                <w:bCs/>
                <w:color w:val="FFFFFF"/>
                <w:sz w:val="20"/>
                <w:szCs w:val="20"/>
              </w:rPr>
              <w:t xml:space="preserve">Document Owner</w:t>
            </w:r>
          </w:p>
        </w:tc>
        <w:tc>
          <w:tcPr>
            <w:tcW w:type="pct" w:w="50%"/>
            <w:shd w:fill="1E293B" w:color="1E293B" w:val="solid"/>
          </w:tcPr>
          <w:p>
            <w:r>
              <w:rPr>
                <w:rFonts w:ascii="Calibri" w:cs="Calibri" w:eastAsia="Calibri" w:hAnsi="Calibri"/>
                <w:b/>
                <w:bCs/>
                <w:color w:val="FFFFFF"/>
                <w:sz w:val="20"/>
                <w:szCs w:val="20"/>
              </w:rPr>
              <w:t xml:space="preserve">[Name / Role]</w:t>
            </w:r>
          </w:p>
        </w:tc>
      </w:tr>
      <w:tr>
        <w:tc>
          <w:tcPr>
            <w:tcW w:type="pct" w:w="50%"/>
          </w:tcPr>
          <w:p>
            <w:r>
              <w:rPr>
                <w:rFonts w:ascii="Calibri" w:cs="Calibri" w:eastAsia="Calibri" w:hAnsi="Calibri"/>
                <w:b w:val="false"/>
                <w:bCs w:val="false"/>
                <w:color w:val="1E293B"/>
                <w:sz w:val="20"/>
                <w:szCs w:val="20"/>
              </w:rPr>
              <w:t xml:space="preserve">Approved By</w:t>
            </w:r>
          </w:p>
        </w:tc>
        <w:tc>
          <w:tcPr>
            <w:tcW w:type="pct" w:w="50%"/>
          </w:tcPr>
          <w:p>
            <w:r>
              <w:rPr>
                <w:rFonts w:ascii="Calibri" w:cs="Calibri" w:eastAsia="Calibri" w:hAnsi="Calibri"/>
                <w:b w:val="false"/>
                <w:bCs w:val="false"/>
                <w:color w:val="1E293B"/>
                <w:sz w:val="20"/>
                <w:szCs w:val="20"/>
              </w:rPr>
              <w:t xml:space="preserve">[Name / Role]</w:t>
            </w:r>
          </w:p>
        </w:tc>
      </w:tr>
      <w:tr>
        <w:tc>
          <w:tcPr>
            <w:tcW w:type="pct" w:w="50%"/>
            <w:shd w:fill="F8FAFC" w:color="F8FAFC" w:val="solid"/>
          </w:tcPr>
          <w:p>
            <w:r>
              <w:rPr>
                <w:rFonts w:ascii="Calibri" w:cs="Calibri" w:eastAsia="Calibri" w:hAnsi="Calibri"/>
                <w:b w:val="false"/>
                <w:bCs w:val="false"/>
                <w:color w:val="1E293B"/>
                <w:sz w:val="20"/>
                <w:szCs w:val="20"/>
              </w:rPr>
              <w:t xml:space="preserve">Last Review Date</w:t>
            </w:r>
          </w:p>
        </w:tc>
        <w:tc>
          <w:tcPr>
            <w:tcW w:type="pct" w:w="50%"/>
            <w:shd w:fill="F8FAFC" w:color="F8FAFC" w:val="solid"/>
          </w:tcPr>
          <w:p>
            <w:r>
              <w:rPr>
                <w:rFonts w:ascii="Calibri" w:cs="Calibri" w:eastAsia="Calibri" w:hAnsi="Calibri"/>
                <w:b w:val="false"/>
                <w:bCs w:val="false"/>
                <w:color w:val="1E293B"/>
                <w:sz w:val="20"/>
                <w:szCs w:val="20"/>
              </w:rPr>
              <w:t xml:space="preserve">[Date]</w:t>
            </w:r>
          </w:p>
        </w:tc>
      </w:tr>
      <w:tr>
        <w:tc>
          <w:tcPr>
            <w:tcW w:type="pct" w:w="50%"/>
          </w:tcPr>
          <w:p>
            <w:r>
              <w:rPr>
                <w:rFonts w:ascii="Calibri" w:cs="Calibri" w:eastAsia="Calibri" w:hAnsi="Calibri"/>
                <w:b w:val="false"/>
                <w:bCs w:val="false"/>
                <w:color w:val="1E293B"/>
                <w:sz w:val="20"/>
                <w:szCs w:val="20"/>
              </w:rPr>
              <w:t xml:space="preserve">Next Review Date</w:t>
            </w:r>
          </w:p>
        </w:tc>
        <w:tc>
          <w:tcPr>
            <w:tcW w:type="pct" w:w="50%"/>
          </w:tcPr>
          <w:p>
            <w:r>
              <w:rPr>
                <w:rFonts w:ascii="Calibri" w:cs="Calibri" w:eastAsia="Calibri" w:hAnsi="Calibri"/>
                <w:b w:val="false"/>
                <w:bCs w:val="false"/>
                <w:color w:val="1E293B"/>
                <w:sz w:val="20"/>
                <w:szCs w:val="20"/>
              </w:rPr>
              <w:t xml:space="preserve">[Date]</w:t>
            </w:r>
          </w:p>
        </w:tc>
      </w:tr>
      <w:tr>
        <w:tc>
          <w:tcPr>
            <w:tcW w:type="pct" w:w="50%"/>
            <w:shd w:fill="F8FAFC" w:color="F8FAFC" w:val="solid"/>
          </w:tcPr>
          <w:p>
            <w:r>
              <w:rPr>
                <w:rFonts w:ascii="Calibri" w:cs="Calibri" w:eastAsia="Calibri" w:hAnsi="Calibri"/>
                <w:b w:val="false"/>
                <w:bCs w:val="false"/>
                <w:color w:val="1E293B"/>
                <w:sz w:val="20"/>
                <w:szCs w:val="20"/>
              </w:rPr>
              <w:t xml:space="preserve">Distribution</w:t>
            </w:r>
          </w:p>
        </w:tc>
        <w:tc>
          <w:tcPr>
            <w:tcW w:type="pct" w:w="50%"/>
            <w:shd w:fill="F8FAFC" w:color="F8FAFC" w:val="solid"/>
          </w:tcPr>
          <w:p>
            <w:r>
              <w:rPr>
                <w:rFonts w:ascii="Calibri" w:cs="Calibri" w:eastAsia="Calibri" w:hAnsi="Calibri"/>
                <w:b w:val="false"/>
                <w:bCs w:val="false"/>
                <w:color w:val="1E293B"/>
                <w:sz w:val="20"/>
                <w:szCs w:val="20"/>
              </w:rPr>
              <w:t xml:space="preserve">Incident Response Team, IT Management, Senior Leadership</w:t>
            </w:r>
          </w:p>
        </w:tc>
      </w:tr>
    </w:tbl>
    <w:p>
      <w:pPr>
        <w:spacing w:after="120"/>
      </w:pPr>
      <w:r>
        <w:rPr>
          <w:sz w:val="22"/>
          <w:szCs w:val="22"/>
        </w:rPr>
        <w:t xml:space="preserve"/>
      </w:r>
    </w:p>
    <w:p>
      <w:pPr>
        <w:pStyle w:val="Heading1"/>
        <w:spacing w:before="400" w:after="120"/>
      </w:pPr>
      <w:r>
        <w:t xml:space="preserve">1. Purpose and Scope</w:t>
      </w:r>
    </w:p>
    <w:p>
      <w:pPr>
        <w:spacing w:after="120"/>
      </w:pPr>
      <w:r>
        <w:rPr>
          <w:sz w:val="22"/>
          <w:szCs w:val="22"/>
        </w:rPr>
        <w:t xml:space="preserve">This Incident Response Plan (IRP) establishes the procedures for detecting, responding to, containing, and recovering from information security incidents. It applies to all information systems, data, and personnel within [Organisation Name].</w:t>
      </w:r>
    </w:p>
    <w:p>
      <w:pPr>
        <w:spacing w:after="120"/>
      </w:pPr>
      <w:r>
        <w:rPr>
          <w:sz w:val="22"/>
          <w:szCs w:val="22"/>
        </w:rPr>
        <w:t xml:space="preserve">The plan covers incidents including but not limited to: data breaches, ransomware and malware infections, denial-of-service attacks, unauthorised access, insider threats, and physical security incidents affecting information assets.</w:t>
      </w:r>
    </w:p>
    <w:p>
      <w:pPr>
        <w:pStyle w:val="Heading1"/>
        <w:spacing w:before="400" w:after="120"/>
      </w:pPr>
      <w:r>
        <w:t xml:space="preserve">2. Incident Severity Classification</w:t>
      </w:r>
    </w:p>
    <w:p>
      <w:pPr>
        <w:spacing w:after="120"/>
      </w:pPr>
      <w:r>
        <w:rPr>
          <w:sz w:val="22"/>
          <w:szCs w:val="22"/>
        </w:rPr>
        <w:t xml:space="preserve">All incidents must be classified on initial assessment. Classification determines response urgency, escalation paths, and communication requirements.</w:t>
      </w:r>
    </w:p>
    <w:p>
      <w:pPr>
        <w:pStyle w:val="Heading2"/>
        <w:spacing w:before="300" w:after="100"/>
      </w:pPr>
      <w:r>
        <w:t xml:space="preserve">2.1 Severity Levels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fill="1E293B" w:color="1E293B" w:val="solid"/>
          </w:tcPr>
          <w:p>
            <w:r>
              <w:rPr>
                <w:rFonts w:ascii="Calibri" w:cs="Calibri" w:eastAsia="Calibri" w:hAnsi="Calibri"/>
                <w:b/>
                <w:bCs/>
                <w:color w:val="FFFFFF"/>
                <w:sz w:val="20"/>
                <w:szCs w:val="20"/>
              </w:rPr>
              <w:t xml:space="preserve">Severity</w:t>
            </w:r>
          </w:p>
        </w:tc>
        <w:tc>
          <w:tcPr>
            <w:tcW w:type="pct" w:w="25%"/>
            <w:shd w:fill="1E293B" w:color="1E293B" w:val="solid"/>
          </w:tcPr>
          <w:p>
            <w:r>
              <w:rPr>
                <w:rFonts w:ascii="Calibri" w:cs="Calibri" w:eastAsia="Calibri" w:hAnsi="Calibri"/>
                <w:b/>
                <w:bCs/>
                <w:color w:val="FFFFFF"/>
                <w:sz w:val="20"/>
                <w:szCs w:val="20"/>
              </w:rPr>
              <w:t xml:space="preserve">Criteria</w:t>
            </w:r>
          </w:p>
        </w:tc>
        <w:tc>
          <w:tcPr>
            <w:tcW w:type="pct" w:w="25%"/>
            <w:shd w:fill="1E293B" w:color="1E293B" w:val="solid"/>
          </w:tcPr>
          <w:p>
            <w:r>
              <w:rPr>
                <w:rFonts w:ascii="Calibri" w:cs="Calibri" w:eastAsia="Calibri" w:hAnsi="Calibri"/>
                <w:b/>
                <w:bCs/>
                <w:color w:val="FFFFFF"/>
                <w:sz w:val="20"/>
                <w:szCs w:val="20"/>
              </w:rPr>
              <w:t xml:space="preserve">Response Time</w:t>
            </w:r>
          </w:p>
        </w:tc>
        <w:tc>
          <w:tcPr>
            <w:tcW w:type="pct" w:w="25%"/>
            <w:shd w:fill="1E293B" w:color="1E293B" w:val="solid"/>
          </w:tcPr>
          <w:p>
            <w:r>
              <w:rPr>
                <w:rFonts w:ascii="Calibri" w:cs="Calibri" w:eastAsia="Calibri" w:hAnsi="Calibri"/>
                <w:b/>
                <w:bCs/>
                <w:color w:val="FFFFFF"/>
                <w:sz w:val="20"/>
                <w:szCs w:val="20"/>
              </w:rPr>
              <w:t xml:space="preserve">Example</w:t>
            </w:r>
          </w:p>
        </w:tc>
      </w:tr>
      <w:tr>
        <w:tc>
          <w:tcPr>
            <w:tcW w:type="pct" w:w="25%"/>
          </w:tcPr>
          <w:p>
            <w:r>
              <w:rPr>
                <w:rFonts w:ascii="Calibri" w:cs="Calibri" w:eastAsia="Calibri" w:hAnsi="Calibri"/>
                <w:b w:val="false"/>
                <w:bCs w:val="false"/>
                <w:color w:val="1E293B"/>
                <w:sz w:val="20"/>
                <w:szCs w:val="20"/>
              </w:rPr>
              <w:t xml:space="preserve">Critical (P1)</w:t>
            </w:r>
          </w:p>
        </w:tc>
        <w:tc>
          <w:tcPr>
            <w:tcW w:type="pct" w:w="25%"/>
          </w:tcPr>
          <w:p>
            <w:r>
              <w:rPr>
                <w:rFonts w:ascii="Calibri" w:cs="Calibri" w:eastAsia="Calibri" w:hAnsi="Calibri"/>
                <w:b w:val="false"/>
                <w:bCs w:val="false"/>
                <w:color w:val="1E293B"/>
                <w:sz w:val="20"/>
                <w:szCs w:val="20"/>
              </w:rPr>
              <w:t xml:space="preserve">Active data breach, ransomware spreading, complete service outage affecting customers</w:t>
            </w:r>
          </w:p>
        </w:tc>
        <w:tc>
          <w:tcPr>
            <w:tcW w:type="pct" w:w="25%"/>
          </w:tcPr>
          <w:p>
            <w:r>
              <w:rPr>
                <w:rFonts w:ascii="Calibri" w:cs="Calibri" w:eastAsia="Calibri" w:hAnsi="Calibri"/>
                <w:b w:val="false"/>
                <w:bCs w:val="false"/>
                <w:color w:val="1E293B"/>
                <w:sz w:val="20"/>
                <w:szCs w:val="20"/>
              </w:rPr>
              <w:t xml:space="preserve">15 minutes</w:t>
            </w:r>
          </w:p>
        </w:tc>
        <w:tc>
          <w:tcPr>
            <w:tcW w:type="pct" w:w="25%"/>
          </w:tcPr>
          <w:p>
            <w:r>
              <w:rPr>
                <w:rFonts w:ascii="Calibri" w:cs="Calibri" w:eastAsia="Calibri" w:hAnsi="Calibri"/>
                <w:b w:val="false"/>
                <w:bCs w:val="false"/>
                <w:color w:val="1E293B"/>
                <w:sz w:val="20"/>
                <w:szCs w:val="20"/>
              </w:rPr>
              <w:t xml:space="preserve">Customer database exfiltrated, production encrypted by ransomware</w:t>
            </w:r>
          </w:p>
        </w:tc>
      </w:tr>
      <w:tr>
        <w:tc>
          <w:tcPr>
            <w:tcW w:type="pct" w:w="25%"/>
            <w:shd w:fill="F8FAFC" w:color="F8FAFC" w:val="solid"/>
          </w:tcPr>
          <w:p>
            <w:r>
              <w:rPr>
                <w:rFonts w:ascii="Calibri" w:cs="Calibri" w:eastAsia="Calibri" w:hAnsi="Calibri"/>
                <w:b w:val="false"/>
                <w:bCs w:val="false"/>
                <w:color w:val="1E293B"/>
                <w:sz w:val="20"/>
                <w:szCs w:val="20"/>
              </w:rPr>
              <w:t xml:space="preserve">High (P2)</w:t>
            </w:r>
          </w:p>
        </w:tc>
        <w:tc>
          <w:tcPr>
            <w:tcW w:type="pct" w:w="25%"/>
            <w:shd w:fill="F8FAFC" w:color="F8FAFC" w:val="solid"/>
          </w:tcPr>
          <w:p>
            <w:r>
              <w:rPr>
                <w:rFonts w:ascii="Calibri" w:cs="Calibri" w:eastAsia="Calibri" w:hAnsi="Calibri"/>
                <w:b w:val="false"/>
                <w:bCs w:val="false"/>
                <w:color w:val="1E293B"/>
                <w:sz w:val="20"/>
                <w:szCs w:val="20"/>
              </w:rPr>
              <w:t xml:space="preserve">Confirmed compromise with limited spread, significant service degradation</w:t>
            </w:r>
          </w:p>
        </w:tc>
        <w:tc>
          <w:tcPr>
            <w:tcW w:type="pct" w:w="25%"/>
            <w:shd w:fill="F8FAFC" w:color="F8FAFC" w:val="solid"/>
          </w:tcPr>
          <w:p>
            <w:r>
              <w:rPr>
                <w:rFonts w:ascii="Calibri" w:cs="Calibri" w:eastAsia="Calibri" w:hAnsi="Calibri"/>
                <w:b w:val="false"/>
                <w:bCs w:val="false"/>
                <w:color w:val="1E293B"/>
                <w:sz w:val="20"/>
                <w:szCs w:val="20"/>
              </w:rPr>
              <w:t xml:space="preserve">1 hour</w:t>
            </w:r>
          </w:p>
        </w:tc>
        <w:tc>
          <w:tcPr>
            <w:tcW w:type="pct" w:w="25%"/>
            <w:shd w:fill="F8FAFC" w:color="F8FAFC" w:val="solid"/>
          </w:tcPr>
          <w:p>
            <w:r>
              <w:rPr>
                <w:rFonts w:ascii="Calibri" w:cs="Calibri" w:eastAsia="Calibri" w:hAnsi="Calibri"/>
                <w:b w:val="false"/>
                <w:bCs w:val="false"/>
                <w:color w:val="1E293B"/>
                <w:sz w:val="20"/>
                <w:szCs w:val="20"/>
              </w:rPr>
              <w:t xml:space="preserve">Single server compromised, phishing campaign targeting executives</w:t>
            </w:r>
          </w:p>
        </w:tc>
      </w:tr>
      <w:tr>
        <w:tc>
          <w:tcPr>
            <w:tcW w:type="pct" w:w="25%"/>
          </w:tcPr>
          <w:p>
            <w:r>
              <w:rPr>
                <w:rFonts w:ascii="Calibri" w:cs="Calibri" w:eastAsia="Calibri" w:hAnsi="Calibri"/>
                <w:b w:val="false"/>
                <w:bCs w:val="false"/>
                <w:color w:val="1E293B"/>
                <w:sz w:val="20"/>
                <w:szCs w:val="20"/>
              </w:rPr>
              <w:t xml:space="preserve">Medium (P3)</w:t>
            </w:r>
          </w:p>
        </w:tc>
        <w:tc>
          <w:tcPr>
            <w:tcW w:type="pct" w:w="25%"/>
          </w:tcPr>
          <w:p>
            <w:r>
              <w:rPr>
                <w:rFonts w:ascii="Calibri" w:cs="Calibri" w:eastAsia="Calibri" w:hAnsi="Calibri"/>
                <w:b w:val="false"/>
                <w:bCs w:val="false"/>
                <w:color w:val="1E293B"/>
                <w:sz w:val="20"/>
                <w:szCs w:val="20"/>
              </w:rPr>
              <w:t xml:space="preserve">Suspicious activity confirmed, no evidence of data loss or service impact</w:t>
            </w:r>
          </w:p>
        </w:tc>
        <w:tc>
          <w:tcPr>
            <w:tcW w:type="pct" w:w="25%"/>
          </w:tcPr>
          <w:p>
            <w:r>
              <w:rPr>
                <w:rFonts w:ascii="Calibri" w:cs="Calibri" w:eastAsia="Calibri" w:hAnsi="Calibri"/>
                <w:b w:val="false"/>
                <w:bCs w:val="false"/>
                <w:color w:val="1E293B"/>
                <w:sz w:val="20"/>
                <w:szCs w:val="20"/>
              </w:rPr>
              <w:t xml:space="preserve">4 hours</w:t>
            </w:r>
          </w:p>
        </w:tc>
        <w:tc>
          <w:tcPr>
            <w:tcW w:type="pct" w:w="25%"/>
          </w:tcPr>
          <w:p>
            <w:r>
              <w:rPr>
                <w:rFonts w:ascii="Calibri" w:cs="Calibri" w:eastAsia="Calibri" w:hAnsi="Calibri"/>
                <w:b w:val="false"/>
                <w:bCs w:val="false"/>
                <w:color w:val="1E293B"/>
                <w:sz w:val="20"/>
                <w:szCs w:val="20"/>
              </w:rPr>
              <w:t xml:space="preserve">Malware detected and quarantined, failed brute-force attack on admin panel</w:t>
            </w:r>
          </w:p>
        </w:tc>
      </w:tr>
      <w:tr>
        <w:tc>
          <w:tcPr>
            <w:tcW w:type="pct" w:w="25%"/>
            <w:shd w:fill="F8FAFC" w:color="F8FAFC" w:val="solid"/>
          </w:tcPr>
          <w:p>
            <w:r>
              <w:rPr>
                <w:rFonts w:ascii="Calibri" w:cs="Calibri" w:eastAsia="Calibri" w:hAnsi="Calibri"/>
                <w:b w:val="false"/>
                <w:bCs w:val="false"/>
                <w:color w:val="1E293B"/>
                <w:sz w:val="20"/>
                <w:szCs w:val="20"/>
              </w:rPr>
              <w:t xml:space="preserve">Low (P4)</w:t>
            </w:r>
          </w:p>
        </w:tc>
        <w:tc>
          <w:tcPr>
            <w:tcW w:type="pct" w:w="25%"/>
            <w:shd w:fill="F8FAFC" w:color="F8FAFC" w:val="solid"/>
          </w:tcPr>
          <w:p>
            <w:r>
              <w:rPr>
                <w:rFonts w:ascii="Calibri" w:cs="Calibri" w:eastAsia="Calibri" w:hAnsi="Calibri"/>
                <w:b w:val="false"/>
                <w:bCs w:val="false"/>
                <w:color w:val="1E293B"/>
                <w:sz w:val="20"/>
                <w:szCs w:val="20"/>
              </w:rPr>
              <w:t xml:space="preserve">Policy violation, minor security event, informational</w:t>
            </w:r>
          </w:p>
        </w:tc>
        <w:tc>
          <w:tcPr>
            <w:tcW w:type="pct" w:w="25%"/>
            <w:shd w:fill="F8FAFC" w:color="F8FAFC" w:val="solid"/>
          </w:tcPr>
          <w:p>
            <w:r>
              <w:rPr>
                <w:rFonts w:ascii="Calibri" w:cs="Calibri" w:eastAsia="Calibri" w:hAnsi="Calibri"/>
                <w:b w:val="false"/>
                <w:bCs w:val="false"/>
                <w:color w:val="1E293B"/>
                <w:sz w:val="20"/>
                <w:szCs w:val="20"/>
              </w:rPr>
              <w:t xml:space="preserve">Next business day</w:t>
            </w:r>
          </w:p>
        </w:tc>
        <w:tc>
          <w:tcPr>
            <w:tcW w:type="pct" w:w="25%"/>
            <w:shd w:fill="F8FAFC" w:color="F8FAFC" w:val="solid"/>
          </w:tcPr>
          <w:p>
            <w:r>
              <w:rPr>
                <w:rFonts w:ascii="Calibri" w:cs="Calibri" w:eastAsia="Calibri" w:hAnsi="Calibri"/>
                <w:b w:val="false"/>
                <w:bCs w:val="false"/>
                <w:color w:val="1E293B"/>
                <w:sz w:val="20"/>
                <w:szCs w:val="20"/>
              </w:rPr>
              <w:t xml:space="preserve">Employee accessing inappropriate website, single failed login attempt</w:t>
            </w:r>
          </w:p>
        </w:tc>
      </w:tr>
    </w:tbl>
    <w:p>
      <w:pPr>
        <w:pStyle w:val="Heading1"/>
        <w:spacing w:before="400" w:after="120"/>
      </w:pPr>
      <w:r>
        <w:t xml:space="preserve">3. Incident Response Team</w:t>
      </w:r>
    </w:p>
    <w:p>
      <w:pPr>
        <w:spacing w:after="120"/>
      </w:pPr>
      <w:r>
        <w:rPr>
          <w:sz w:val="22"/>
          <w:szCs w:val="22"/>
        </w:rPr>
        <w:t xml:space="preserve">The following roles must be assigned before an incident occurs. One person may hold multiple roles in smaller organisations.</w:t>
      </w:r>
    </w:p>
    <w:p>
      <w:pPr>
        <w:pStyle w:val="Heading2"/>
        <w:spacing w:before="300" w:after="100"/>
      </w:pPr>
      <w:r>
        <w:t xml:space="preserve">3.1 Role Definitions</w:t>
      </w:r>
    </w:p>
    <w:p>
      <w:pPr>
        <w:pStyle w:val="ListParagraph"/>
        <w:numPr>
          <w:ilvl w:val="0"/>
          <w:numId w:val="1"/>
        </w:numPr>
        <w:spacing w:after="60"/>
      </w:pPr>
      <w:r>
        <w:rPr>
          <w:sz w:val="22"/>
          <w:szCs w:val="22"/>
        </w:rPr>
        <w:t xml:space="preserve">Incident Commander: Overall authority during the incident. Makes escalation and communication decisions. Reports to senior leadership.</w:t>
      </w:r>
    </w:p>
    <w:p>
      <w:pPr>
        <w:pStyle w:val="ListParagraph"/>
        <w:numPr>
          <w:ilvl w:val="0"/>
          <w:numId w:val="1"/>
        </w:numPr>
        <w:spacing w:after="60"/>
      </w:pPr>
      <w:r>
        <w:rPr>
          <w:sz w:val="22"/>
          <w:szCs w:val="22"/>
        </w:rPr>
        <w:t xml:space="preserve">Technical Lead: Coordinates technical investigation and containment. Directs forensic analysis and system recovery.</w:t>
      </w:r>
    </w:p>
    <w:p>
      <w:pPr>
        <w:pStyle w:val="ListParagraph"/>
        <w:numPr>
          <w:ilvl w:val="0"/>
          <w:numId w:val="1"/>
        </w:numPr>
        <w:spacing w:after="60"/>
      </w:pPr>
      <w:r>
        <w:rPr>
          <w:sz w:val="22"/>
          <w:szCs w:val="22"/>
        </w:rPr>
        <w:t xml:space="preserve">Communications Lead: Manages all internal and external communications. Drafts notifications for customers, regulators, and media.</w:t>
      </w:r>
    </w:p>
    <w:p>
      <w:pPr>
        <w:pStyle w:val="ListParagraph"/>
        <w:numPr>
          <w:ilvl w:val="0"/>
          <w:numId w:val="1"/>
        </w:numPr>
        <w:spacing w:after="60"/>
      </w:pPr>
      <w:r>
        <w:rPr>
          <w:sz w:val="22"/>
          <w:szCs w:val="22"/>
        </w:rPr>
        <w:t xml:space="preserve">Legal Liaison: Advises on regulatory notification obligations, evidence preservation, and liability considerations.</w:t>
      </w:r>
    </w:p>
    <w:p>
      <w:pPr>
        <w:pStyle w:val="ListParagraph"/>
        <w:numPr>
          <w:ilvl w:val="0"/>
          <w:numId w:val="1"/>
        </w:numPr>
        <w:spacing w:after="60"/>
      </w:pPr>
      <w:r>
        <w:rPr>
          <w:sz w:val="22"/>
          <w:szCs w:val="22"/>
        </w:rPr>
        <w:t xml:space="preserve">Scribe/Logger: Maintains the incident timeline. Documents all actions, decisions, and evidence collected.</w:t>
      </w:r>
    </w:p>
    <w:p>
      <w:pPr>
        <w:spacing w:after="120"/>
      </w:pPr>
      <w:r>
        <w:rPr>
          <w:sz w:val="22"/>
          <w:szCs w:val="22"/>
        </w:rPr>
        <w:t xml:space="preserve"/>
      </w:r>
    </w:p>
    <w:p>
      <w:pPr>
        <w:pStyle w:val="Heading2"/>
        <w:spacing w:before="300" w:after="100"/>
      </w:pPr>
      <w:r>
        <w:t xml:space="preserve">3.2 Contact List</w:t>
      </w:r>
    </w:p>
    <w:p>
      <w:pPr>
        <w:spacing w:after="120"/>
      </w:pPr>
      <w:r>
        <w:rPr>
          <w:sz w:val="22"/>
          <w:szCs w:val="22"/>
        </w:rPr>
        <w:t xml:space="preserve">[Complete the table below with your organisation's contact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pct" w:w="20%"/>
            <w:shd w:fill="1E293B" w:color="1E293B" w:val="solid"/>
          </w:tcPr>
          <w:p>
            <w:r>
              <w:rPr>
                <w:rFonts w:ascii="Calibri" w:cs="Calibri" w:eastAsia="Calibri" w:hAnsi="Calibri"/>
                <w:b/>
                <w:bCs/>
                <w:color w:val="FFFFFF"/>
                <w:sz w:val="20"/>
                <w:szCs w:val="20"/>
              </w:rPr>
              <w:t xml:space="preserve">Role</w:t>
            </w:r>
          </w:p>
        </w:tc>
        <w:tc>
          <w:tcPr>
            <w:tcW w:type="pct" w:w="20%"/>
            <w:shd w:fill="1E293B" w:color="1E293B" w:val="solid"/>
          </w:tcPr>
          <w:p>
            <w:r>
              <w:rPr>
                <w:rFonts w:ascii="Calibri" w:cs="Calibri" w:eastAsia="Calibri" w:hAnsi="Calibri"/>
                <w:b/>
                <w:bCs/>
                <w:color w:val="FFFFFF"/>
                <w:sz w:val="20"/>
                <w:szCs w:val="20"/>
              </w:rPr>
              <w:t xml:space="preserve">Primary</w:t>
            </w:r>
          </w:p>
        </w:tc>
        <w:tc>
          <w:tcPr>
            <w:tcW w:type="pct" w:w="20%"/>
            <w:shd w:fill="1E293B" w:color="1E293B" w:val="solid"/>
          </w:tcPr>
          <w:p>
            <w:r>
              <w:rPr>
                <w:rFonts w:ascii="Calibri" w:cs="Calibri" w:eastAsia="Calibri" w:hAnsi="Calibri"/>
                <w:b/>
                <w:bCs/>
                <w:color w:val="FFFFFF"/>
                <w:sz w:val="20"/>
                <w:szCs w:val="20"/>
              </w:rPr>
              <w:t xml:space="preserve">Phone</w:t>
            </w:r>
          </w:p>
        </w:tc>
        <w:tc>
          <w:tcPr>
            <w:tcW w:type="pct" w:w="20%"/>
            <w:shd w:fill="1E293B" w:color="1E293B" w:val="solid"/>
          </w:tcPr>
          <w:p>
            <w:r>
              <w:rPr>
                <w:rFonts w:ascii="Calibri" w:cs="Calibri" w:eastAsia="Calibri" w:hAnsi="Calibri"/>
                <w:b/>
                <w:bCs/>
                <w:color w:val="FFFFFF"/>
                <w:sz w:val="20"/>
                <w:szCs w:val="20"/>
              </w:rPr>
              <w:t xml:space="preserve">Email</w:t>
            </w:r>
          </w:p>
        </w:tc>
        <w:tc>
          <w:tcPr>
            <w:tcW w:type="pct" w:w="20%"/>
            <w:shd w:fill="1E293B" w:color="1E293B" w:val="solid"/>
          </w:tcPr>
          <w:p>
            <w:r>
              <w:rPr>
                <w:rFonts w:ascii="Calibri" w:cs="Calibri" w:eastAsia="Calibri" w:hAnsi="Calibri"/>
                <w:b/>
                <w:bCs/>
                <w:color w:val="FFFFFF"/>
                <w:sz w:val="20"/>
                <w:szCs w:val="20"/>
              </w:rPr>
              <w:t xml:space="preserve">Backup</w:t>
            </w:r>
          </w:p>
        </w:tc>
      </w:tr>
      <w:tr>
        <w:tc>
          <w:tcPr>
            <w:tcW w:type="pct" w:w="20%"/>
          </w:tcPr>
          <w:p>
            <w:r>
              <w:rPr>
                <w:rFonts w:ascii="Calibri" w:cs="Calibri" w:eastAsia="Calibri" w:hAnsi="Calibri"/>
                <w:b w:val="false"/>
                <w:bCs w:val="false"/>
                <w:color w:val="1E293B"/>
                <w:sz w:val="20"/>
                <w:szCs w:val="20"/>
              </w:rPr>
              <w:t xml:space="preserve">Incident Commander</w:t>
            </w:r>
          </w:p>
        </w:tc>
        <w:tc>
          <w:tcPr>
            <w:tcW w:type="pct" w:w="20%"/>
          </w:tcPr>
          <w:p>
            <w:r>
              <w:rPr>
                <w:rFonts w:ascii="Calibri" w:cs="Calibri" w:eastAsia="Calibri" w:hAnsi="Calibri"/>
                <w:b w:val="false"/>
                <w:bCs w:val="false"/>
                <w:color w:val="1E293B"/>
                <w:sz w:val="20"/>
                <w:szCs w:val="20"/>
              </w:rPr>
              <w:t xml:space="preserve">[Name]</w:t>
            </w:r>
          </w:p>
        </w:tc>
        <w:tc>
          <w:tcPr>
            <w:tcW w:type="pct" w:w="20%"/>
          </w:tcPr>
          <w:p>
            <w:r>
              <w:rPr>
                <w:rFonts w:ascii="Calibri" w:cs="Calibri" w:eastAsia="Calibri" w:hAnsi="Calibri"/>
                <w:b w:val="false"/>
                <w:bCs w:val="false"/>
                <w:color w:val="1E293B"/>
                <w:sz w:val="20"/>
                <w:szCs w:val="20"/>
              </w:rPr>
              <w:t xml:space="preserve">[Phone]</w:t>
            </w:r>
          </w:p>
        </w:tc>
        <w:tc>
          <w:tcPr>
            <w:tcW w:type="pct" w:w="20%"/>
          </w:tcPr>
          <w:p>
            <w:r>
              <w:rPr>
                <w:rFonts w:ascii="Calibri" w:cs="Calibri" w:eastAsia="Calibri" w:hAnsi="Calibri"/>
                <w:b w:val="false"/>
                <w:bCs w:val="false"/>
                <w:color w:val="1E293B"/>
                <w:sz w:val="20"/>
                <w:szCs w:val="20"/>
              </w:rPr>
              <w:t xml:space="preserve">[Email]</w:t>
            </w:r>
          </w:p>
        </w:tc>
        <w:tc>
          <w:tcPr>
            <w:tcW w:type="pct" w:w="20%"/>
          </w:tcPr>
          <w:p>
            <w:r>
              <w:rPr>
                <w:rFonts w:ascii="Calibri" w:cs="Calibri" w:eastAsia="Calibri" w:hAnsi="Calibri"/>
                <w:b w:val="false"/>
                <w:bCs w:val="false"/>
                <w:color w:val="1E293B"/>
                <w:sz w:val="20"/>
                <w:szCs w:val="20"/>
              </w:rPr>
              <w:t xml:space="preserve">[Name]</w:t>
            </w:r>
          </w:p>
        </w:tc>
      </w:tr>
      <w:tr>
        <w:tc>
          <w:tcPr>
            <w:tcW w:type="pct" w:w="20%"/>
            <w:shd w:fill="F8FAFC" w:color="F8FAFC" w:val="solid"/>
          </w:tcPr>
          <w:p>
            <w:r>
              <w:rPr>
                <w:rFonts w:ascii="Calibri" w:cs="Calibri" w:eastAsia="Calibri" w:hAnsi="Calibri"/>
                <w:b w:val="false"/>
                <w:bCs w:val="false"/>
                <w:color w:val="1E293B"/>
                <w:sz w:val="20"/>
                <w:szCs w:val="20"/>
              </w:rPr>
              <w:t xml:space="preserve">Technical Lead</w:t>
            </w:r>
          </w:p>
        </w:tc>
        <w:tc>
          <w:tcPr>
            <w:tcW w:type="pct" w:w="20%"/>
            <w:shd w:fill="F8FAFC" w:color="F8FAFC" w:val="solid"/>
          </w:tcPr>
          <w:p>
            <w:r>
              <w:rPr>
                <w:rFonts w:ascii="Calibri" w:cs="Calibri" w:eastAsia="Calibri" w:hAnsi="Calibri"/>
                <w:b w:val="false"/>
                <w:bCs w:val="false"/>
                <w:color w:val="1E293B"/>
                <w:sz w:val="20"/>
                <w:szCs w:val="20"/>
              </w:rPr>
              <w:t xml:space="preserve">[Name]</w:t>
            </w:r>
          </w:p>
        </w:tc>
        <w:tc>
          <w:tcPr>
            <w:tcW w:type="pct" w:w="20%"/>
            <w:shd w:fill="F8FAFC" w:color="F8FAFC" w:val="solid"/>
          </w:tcPr>
          <w:p>
            <w:r>
              <w:rPr>
                <w:rFonts w:ascii="Calibri" w:cs="Calibri" w:eastAsia="Calibri" w:hAnsi="Calibri"/>
                <w:b w:val="false"/>
                <w:bCs w:val="false"/>
                <w:color w:val="1E293B"/>
                <w:sz w:val="20"/>
                <w:szCs w:val="20"/>
              </w:rPr>
              <w:t xml:space="preserve">[Phone]</w:t>
            </w:r>
          </w:p>
        </w:tc>
        <w:tc>
          <w:tcPr>
            <w:tcW w:type="pct" w:w="20%"/>
            <w:shd w:fill="F8FAFC" w:color="F8FAFC" w:val="solid"/>
          </w:tcPr>
          <w:p>
            <w:r>
              <w:rPr>
                <w:rFonts w:ascii="Calibri" w:cs="Calibri" w:eastAsia="Calibri" w:hAnsi="Calibri"/>
                <w:b w:val="false"/>
                <w:bCs w:val="false"/>
                <w:color w:val="1E293B"/>
                <w:sz w:val="20"/>
                <w:szCs w:val="20"/>
              </w:rPr>
              <w:t xml:space="preserve">[Email]</w:t>
            </w:r>
          </w:p>
        </w:tc>
        <w:tc>
          <w:tcPr>
            <w:tcW w:type="pct" w:w="20%"/>
            <w:shd w:fill="F8FAFC" w:color="F8FAFC" w:val="solid"/>
          </w:tcPr>
          <w:p>
            <w:r>
              <w:rPr>
                <w:rFonts w:ascii="Calibri" w:cs="Calibri" w:eastAsia="Calibri" w:hAnsi="Calibri"/>
                <w:b w:val="false"/>
                <w:bCs w:val="false"/>
                <w:color w:val="1E293B"/>
                <w:sz w:val="20"/>
                <w:szCs w:val="20"/>
              </w:rPr>
              <w:t xml:space="preserve">[Name]</w:t>
            </w:r>
          </w:p>
        </w:tc>
      </w:tr>
      <w:tr>
        <w:tc>
          <w:tcPr>
            <w:tcW w:type="pct" w:w="20%"/>
          </w:tcPr>
          <w:p>
            <w:r>
              <w:rPr>
                <w:rFonts w:ascii="Calibri" w:cs="Calibri" w:eastAsia="Calibri" w:hAnsi="Calibri"/>
                <w:b w:val="false"/>
                <w:bCs w:val="false"/>
                <w:color w:val="1E293B"/>
                <w:sz w:val="20"/>
                <w:szCs w:val="20"/>
              </w:rPr>
              <w:t xml:space="preserve">Communications Lead</w:t>
            </w:r>
          </w:p>
        </w:tc>
        <w:tc>
          <w:tcPr>
            <w:tcW w:type="pct" w:w="20%"/>
          </w:tcPr>
          <w:p>
            <w:r>
              <w:rPr>
                <w:rFonts w:ascii="Calibri" w:cs="Calibri" w:eastAsia="Calibri" w:hAnsi="Calibri"/>
                <w:b w:val="false"/>
                <w:bCs w:val="false"/>
                <w:color w:val="1E293B"/>
                <w:sz w:val="20"/>
                <w:szCs w:val="20"/>
              </w:rPr>
              <w:t xml:space="preserve">[Name]</w:t>
            </w:r>
          </w:p>
        </w:tc>
        <w:tc>
          <w:tcPr>
            <w:tcW w:type="pct" w:w="20%"/>
          </w:tcPr>
          <w:p>
            <w:r>
              <w:rPr>
                <w:rFonts w:ascii="Calibri" w:cs="Calibri" w:eastAsia="Calibri" w:hAnsi="Calibri"/>
                <w:b w:val="false"/>
                <w:bCs w:val="false"/>
                <w:color w:val="1E293B"/>
                <w:sz w:val="20"/>
                <w:szCs w:val="20"/>
              </w:rPr>
              <w:t xml:space="preserve">[Phone]</w:t>
            </w:r>
          </w:p>
        </w:tc>
        <w:tc>
          <w:tcPr>
            <w:tcW w:type="pct" w:w="20%"/>
          </w:tcPr>
          <w:p>
            <w:r>
              <w:rPr>
                <w:rFonts w:ascii="Calibri" w:cs="Calibri" w:eastAsia="Calibri" w:hAnsi="Calibri"/>
                <w:b w:val="false"/>
                <w:bCs w:val="false"/>
                <w:color w:val="1E293B"/>
                <w:sz w:val="20"/>
                <w:szCs w:val="20"/>
              </w:rPr>
              <w:t xml:space="preserve">[Email]</w:t>
            </w:r>
          </w:p>
        </w:tc>
        <w:tc>
          <w:tcPr>
            <w:tcW w:type="pct" w:w="20%"/>
          </w:tcPr>
          <w:p>
            <w:r>
              <w:rPr>
                <w:rFonts w:ascii="Calibri" w:cs="Calibri" w:eastAsia="Calibri" w:hAnsi="Calibri"/>
                <w:b w:val="false"/>
                <w:bCs w:val="false"/>
                <w:color w:val="1E293B"/>
                <w:sz w:val="20"/>
                <w:szCs w:val="20"/>
              </w:rPr>
              <w:t xml:space="preserve">[Name]</w:t>
            </w:r>
          </w:p>
        </w:tc>
      </w:tr>
      <w:tr>
        <w:tc>
          <w:tcPr>
            <w:tcW w:type="pct" w:w="20%"/>
            <w:shd w:fill="F8FAFC" w:color="F8FAFC" w:val="solid"/>
          </w:tcPr>
          <w:p>
            <w:r>
              <w:rPr>
                <w:rFonts w:ascii="Calibri" w:cs="Calibri" w:eastAsia="Calibri" w:hAnsi="Calibri"/>
                <w:b w:val="false"/>
                <w:bCs w:val="false"/>
                <w:color w:val="1E293B"/>
                <w:sz w:val="20"/>
                <w:szCs w:val="20"/>
              </w:rPr>
              <w:t xml:space="preserve">Legal Liaison</w:t>
            </w:r>
          </w:p>
        </w:tc>
        <w:tc>
          <w:tcPr>
            <w:tcW w:type="pct" w:w="20%"/>
            <w:shd w:fill="F8FAFC" w:color="F8FAFC" w:val="solid"/>
          </w:tcPr>
          <w:p>
            <w:r>
              <w:rPr>
                <w:rFonts w:ascii="Calibri" w:cs="Calibri" w:eastAsia="Calibri" w:hAnsi="Calibri"/>
                <w:b w:val="false"/>
                <w:bCs w:val="false"/>
                <w:color w:val="1E293B"/>
                <w:sz w:val="20"/>
                <w:szCs w:val="20"/>
              </w:rPr>
              <w:t xml:space="preserve">[Name]</w:t>
            </w:r>
          </w:p>
        </w:tc>
        <w:tc>
          <w:tcPr>
            <w:tcW w:type="pct" w:w="20%"/>
            <w:shd w:fill="F8FAFC" w:color="F8FAFC" w:val="solid"/>
          </w:tcPr>
          <w:p>
            <w:r>
              <w:rPr>
                <w:rFonts w:ascii="Calibri" w:cs="Calibri" w:eastAsia="Calibri" w:hAnsi="Calibri"/>
                <w:b w:val="false"/>
                <w:bCs w:val="false"/>
                <w:color w:val="1E293B"/>
                <w:sz w:val="20"/>
                <w:szCs w:val="20"/>
              </w:rPr>
              <w:t xml:space="preserve">[Phone]</w:t>
            </w:r>
          </w:p>
        </w:tc>
        <w:tc>
          <w:tcPr>
            <w:tcW w:type="pct" w:w="20%"/>
            <w:shd w:fill="F8FAFC" w:color="F8FAFC" w:val="solid"/>
          </w:tcPr>
          <w:p>
            <w:r>
              <w:rPr>
                <w:rFonts w:ascii="Calibri" w:cs="Calibri" w:eastAsia="Calibri" w:hAnsi="Calibri"/>
                <w:b w:val="false"/>
                <w:bCs w:val="false"/>
                <w:color w:val="1E293B"/>
                <w:sz w:val="20"/>
                <w:szCs w:val="20"/>
              </w:rPr>
              <w:t xml:space="preserve">[Email]</w:t>
            </w:r>
          </w:p>
        </w:tc>
        <w:tc>
          <w:tcPr>
            <w:tcW w:type="pct" w:w="20%"/>
            <w:shd w:fill="F8FAFC" w:color="F8FAFC" w:val="solid"/>
          </w:tcPr>
          <w:p>
            <w:r>
              <w:rPr>
                <w:rFonts w:ascii="Calibri" w:cs="Calibri" w:eastAsia="Calibri" w:hAnsi="Calibri"/>
                <w:b w:val="false"/>
                <w:bCs w:val="false"/>
                <w:color w:val="1E293B"/>
                <w:sz w:val="20"/>
                <w:szCs w:val="20"/>
              </w:rPr>
              <w:t xml:space="preserve">[Name]</w:t>
            </w:r>
          </w:p>
        </w:tc>
      </w:tr>
    </w:tbl>
    <w:p>
      <w:pPr>
        <w:pStyle w:val="Heading1"/>
        <w:spacing w:before="400" w:after="120"/>
      </w:pPr>
      <w:r>
        <w:t xml:space="preserve">4. Response Procedures</w:t>
      </w:r>
    </w:p>
    <w:p>
      <w:pPr>
        <w:pStyle w:val="Heading2"/>
        <w:spacing w:before="300" w:after="100"/>
      </w:pPr>
      <w:r>
        <w:t xml:space="preserve">4.1 Phase 1: Preparation</w:t>
      </w:r>
    </w:p>
    <w:p>
      <w:pPr>
        <w:spacing w:after="120"/>
      </w:pPr>
      <w:r>
        <w:rPr>
          <w:sz w:val="22"/>
          <w:szCs w:val="22"/>
        </w:rPr>
        <w:t xml:space="preserve">Preparation activities that must be maintained continuously, not just during incidents:</w:t>
      </w:r>
    </w:p>
    <w:p>
      <w:pPr>
        <w:pStyle w:val="ListParagraph"/>
        <w:numPr>
          <w:ilvl w:val="0"/>
          <w:numId w:val="1"/>
        </w:numPr>
        <w:spacing w:after="60"/>
      </w:pPr>
      <w:r>
        <w:rPr>
          <w:sz w:val="22"/>
          <w:szCs w:val="22"/>
        </w:rPr>
        <w:t xml:space="preserve">Maintain and test this incident response plan at least annually</w:t>
      </w:r>
    </w:p>
    <w:p>
      <w:pPr>
        <w:pStyle w:val="ListParagraph"/>
        <w:numPr>
          <w:ilvl w:val="0"/>
          <w:numId w:val="1"/>
        </w:numPr>
        <w:spacing w:after="60"/>
      </w:pPr>
      <w:r>
        <w:rPr>
          <w:sz w:val="22"/>
          <w:szCs w:val="22"/>
        </w:rPr>
        <w:t xml:space="preserve">Ensure all IRT members have received training on their roles and responsibilities</w:t>
      </w:r>
    </w:p>
    <w:p>
      <w:pPr>
        <w:pStyle w:val="ListParagraph"/>
        <w:numPr>
          <w:ilvl w:val="0"/>
          <w:numId w:val="1"/>
        </w:numPr>
        <w:spacing w:after="60"/>
      </w:pPr>
      <w:r>
        <w:rPr>
          <w:sz w:val="22"/>
          <w:szCs w:val="22"/>
        </w:rPr>
        <w:t xml:space="preserve">Maintain up-to-date contact lists for internal teams, external providers, legal counsel, and regulators</w:t>
      </w:r>
    </w:p>
    <w:p>
      <w:pPr>
        <w:pStyle w:val="ListParagraph"/>
        <w:numPr>
          <w:ilvl w:val="0"/>
          <w:numId w:val="1"/>
        </w:numPr>
        <w:spacing w:after="60"/>
      </w:pPr>
      <w:r>
        <w:rPr>
          <w:sz w:val="22"/>
          <w:szCs w:val="22"/>
        </w:rPr>
        <w:t xml:space="preserve">Verify that logging and monitoring tools are operational and covering all critical systems</w:t>
      </w:r>
    </w:p>
    <w:p>
      <w:pPr>
        <w:pStyle w:val="ListParagraph"/>
        <w:numPr>
          <w:ilvl w:val="0"/>
          <w:numId w:val="1"/>
        </w:numPr>
        <w:spacing w:after="60"/>
      </w:pPr>
      <w:r>
        <w:rPr>
          <w:sz w:val="22"/>
          <w:szCs w:val="22"/>
        </w:rPr>
        <w:t xml:space="preserve">Ensure forensic tools and isolated investigation environments are available</w:t>
      </w:r>
    </w:p>
    <w:p>
      <w:pPr>
        <w:pStyle w:val="ListParagraph"/>
        <w:numPr>
          <w:ilvl w:val="0"/>
          <w:numId w:val="1"/>
        </w:numPr>
        <w:spacing w:after="60"/>
      </w:pPr>
      <w:r>
        <w:rPr>
          <w:sz w:val="22"/>
          <w:szCs w:val="22"/>
        </w:rPr>
        <w:t xml:space="preserve">Review and update escalation criteria and severity classifications</w:t>
      </w:r>
    </w:p>
    <w:p>
      <w:pPr>
        <w:spacing w:after="120"/>
      </w:pPr>
      <w:r>
        <w:rPr>
          <w:sz w:val="22"/>
          <w:szCs w:val="22"/>
        </w:rPr>
        <w:t xml:space="preserve"/>
      </w:r>
    </w:p>
    <w:p>
      <w:pPr>
        <w:pStyle w:val="Heading2"/>
        <w:spacing w:before="300" w:after="100"/>
      </w:pPr>
      <w:r>
        <w:t xml:space="preserve">4.2 Phase 2: Identification</w:t>
      </w:r>
    </w:p>
    <w:p>
      <w:pPr>
        <w:spacing w:after="120"/>
      </w:pPr>
      <w:r>
        <w:rPr>
          <w:sz w:val="22"/>
          <w:szCs w:val="22"/>
        </w:rPr>
        <w:t xml:space="preserve">When a potential incident is detected:</w:t>
      </w:r>
    </w:p>
    <w:p>
      <w:pPr>
        <w:pStyle w:val="ListParagraph"/>
        <w:numPr>
          <w:ilvl w:val="0"/>
          <w:numId w:val="1"/>
        </w:numPr>
        <w:spacing w:after="60"/>
      </w:pPr>
      <w:r>
        <w:rPr>
          <w:sz w:val="22"/>
          <w:szCs w:val="22"/>
        </w:rPr>
        <w:t xml:space="preserve">1. Log the initial report: who reported it, when, what was observed</w:t>
      </w:r>
    </w:p>
    <w:p>
      <w:pPr>
        <w:pStyle w:val="ListParagraph"/>
        <w:numPr>
          <w:ilvl w:val="0"/>
          <w:numId w:val="1"/>
        </w:numPr>
        <w:spacing w:after="60"/>
      </w:pPr>
      <w:r>
        <w:rPr>
          <w:sz w:val="22"/>
          <w:szCs w:val="22"/>
        </w:rPr>
        <w:t xml:space="preserve">2. Assign initial severity classification based on Section 2</w:t>
      </w:r>
    </w:p>
    <w:p>
      <w:pPr>
        <w:pStyle w:val="ListParagraph"/>
        <w:numPr>
          <w:ilvl w:val="0"/>
          <w:numId w:val="1"/>
        </w:numPr>
        <w:spacing w:after="60"/>
      </w:pPr>
      <w:r>
        <w:rPr>
          <w:sz w:val="22"/>
          <w:szCs w:val="22"/>
        </w:rPr>
        <w:t xml:space="preserve">3. Activate the Incident Response Team if severity is P1 or P2</w:t>
      </w:r>
    </w:p>
    <w:p>
      <w:pPr>
        <w:pStyle w:val="ListParagraph"/>
        <w:numPr>
          <w:ilvl w:val="0"/>
          <w:numId w:val="1"/>
        </w:numPr>
        <w:spacing w:after="60"/>
      </w:pPr>
      <w:r>
        <w:rPr>
          <w:sz w:val="22"/>
          <w:szCs w:val="22"/>
        </w:rPr>
        <w:t xml:space="preserve">4. Begin incident timeline documentation immediately</w:t>
      </w:r>
    </w:p>
    <w:p>
      <w:pPr>
        <w:pStyle w:val="ListParagraph"/>
        <w:numPr>
          <w:ilvl w:val="0"/>
          <w:numId w:val="1"/>
        </w:numPr>
        <w:spacing w:after="60"/>
      </w:pPr>
      <w:r>
        <w:rPr>
          <w:sz w:val="22"/>
          <w:szCs w:val="22"/>
        </w:rPr>
        <w:t xml:space="preserve">5. Preserve initial evidence (screenshots, logs, affected system state)</w:t>
      </w:r>
    </w:p>
    <w:p>
      <w:pPr>
        <w:pStyle w:val="ListParagraph"/>
        <w:numPr>
          <w:ilvl w:val="0"/>
          <w:numId w:val="1"/>
        </w:numPr>
        <w:spacing w:after="60"/>
      </w:pPr>
      <w:r>
        <w:rPr>
          <w:sz w:val="22"/>
          <w:szCs w:val="22"/>
        </w:rPr>
        <w:t xml:space="preserve">6. Do NOT alert the potential attacker (avoid password resets, account lockouts until containment strategy is agreed)</w:t>
      </w:r>
    </w:p>
    <w:p>
      <w:pPr>
        <w:spacing w:after="120"/>
      </w:pPr>
      <w:r>
        <w:rPr>
          <w:sz w:val="22"/>
          <w:szCs w:val="22"/>
        </w:rPr>
        <w:t xml:space="preserve"/>
      </w:r>
    </w:p>
    <w:p>
      <w:pPr>
        <w:pStyle w:val="Heading2"/>
        <w:spacing w:before="300" w:after="100"/>
      </w:pPr>
      <w:r>
        <w:t xml:space="preserve">4.3 Phase 3: Containment</w:t>
      </w:r>
    </w:p>
    <w:p>
      <w:pPr>
        <w:spacing w:after="120"/>
      </w:pPr>
      <w:r>
        <w:rPr>
          <w:sz w:val="22"/>
          <w:szCs w:val="22"/>
        </w:rPr>
        <w:t xml:space="preserve">Short-term containment (immediate actions to stop the spread):</w:t>
      </w:r>
    </w:p>
    <w:p>
      <w:pPr>
        <w:pStyle w:val="ListParagraph"/>
        <w:numPr>
          <w:ilvl w:val="0"/>
          <w:numId w:val="1"/>
        </w:numPr>
        <w:spacing w:after="60"/>
      </w:pPr>
      <w:r>
        <w:rPr>
          <w:sz w:val="22"/>
          <w:szCs w:val="22"/>
        </w:rPr>
        <w:t xml:space="preserve">Isolate affected systems from the network</w:t>
      </w:r>
    </w:p>
    <w:p>
      <w:pPr>
        <w:pStyle w:val="ListParagraph"/>
        <w:numPr>
          <w:ilvl w:val="0"/>
          <w:numId w:val="1"/>
        </w:numPr>
        <w:spacing w:after="60"/>
      </w:pPr>
      <w:r>
        <w:rPr>
          <w:sz w:val="22"/>
          <w:szCs w:val="22"/>
        </w:rPr>
        <w:t xml:space="preserve">Block malicious IP addresses, domains, or email addresses</w:t>
      </w:r>
    </w:p>
    <w:p>
      <w:pPr>
        <w:pStyle w:val="ListParagraph"/>
        <w:numPr>
          <w:ilvl w:val="0"/>
          <w:numId w:val="1"/>
        </w:numPr>
        <w:spacing w:after="60"/>
      </w:pPr>
      <w:r>
        <w:rPr>
          <w:sz w:val="22"/>
          <w:szCs w:val="22"/>
        </w:rPr>
        <w:t xml:space="preserve">Disable compromised accounts</w:t>
      </w:r>
    </w:p>
    <w:p>
      <w:pPr>
        <w:pStyle w:val="ListParagraph"/>
        <w:numPr>
          <w:ilvl w:val="0"/>
          <w:numId w:val="1"/>
        </w:numPr>
        <w:spacing w:after="60"/>
      </w:pPr>
      <w:r>
        <w:rPr>
          <w:sz w:val="22"/>
          <w:szCs w:val="22"/>
        </w:rPr>
        <w:t xml:space="preserve">Redirect traffic away from affected services</w:t>
      </w:r>
    </w:p>
    <w:p>
      <w:pPr>
        <w:spacing w:after="120"/>
      </w:pPr>
      <w:r>
        <w:rPr>
          <w:sz w:val="22"/>
          <w:szCs w:val="22"/>
        </w:rPr>
        <w:t xml:space="preserve"/>
      </w:r>
    </w:p>
    <w:p>
      <w:pPr>
        <w:spacing w:after="120"/>
      </w:pPr>
      <w:r>
        <w:rPr>
          <w:sz w:val="22"/>
          <w:szCs w:val="22"/>
        </w:rPr>
        <w:t xml:space="preserve">Long-term containment (while preparing for eradication):</w:t>
      </w:r>
    </w:p>
    <w:p>
      <w:pPr>
        <w:pStyle w:val="ListParagraph"/>
        <w:numPr>
          <w:ilvl w:val="0"/>
          <w:numId w:val="1"/>
        </w:numPr>
        <w:spacing w:after="60"/>
      </w:pPr>
      <w:r>
        <w:rPr>
          <w:sz w:val="22"/>
          <w:szCs w:val="22"/>
        </w:rPr>
        <w:t xml:space="preserve">Apply temporary fixes to keep business-critical systems running safely</w:t>
      </w:r>
    </w:p>
    <w:p>
      <w:pPr>
        <w:pStyle w:val="ListParagraph"/>
        <w:numPr>
          <w:ilvl w:val="0"/>
          <w:numId w:val="1"/>
        </w:numPr>
        <w:spacing w:after="60"/>
      </w:pPr>
      <w:r>
        <w:rPr>
          <w:sz w:val="22"/>
          <w:szCs w:val="22"/>
        </w:rPr>
        <w:t xml:space="preserve">Increase monitoring on related systems</w:t>
      </w:r>
    </w:p>
    <w:p>
      <w:pPr>
        <w:pStyle w:val="ListParagraph"/>
        <w:numPr>
          <w:ilvl w:val="0"/>
          <w:numId w:val="1"/>
        </w:numPr>
        <w:spacing w:after="60"/>
      </w:pPr>
      <w:r>
        <w:rPr>
          <w:sz w:val="22"/>
          <w:szCs w:val="22"/>
        </w:rPr>
        <w:t xml:space="preserve">Implement additional access controls on sensitive data</w:t>
      </w:r>
    </w:p>
    <w:p>
      <w:pPr>
        <w:pStyle w:val="ListParagraph"/>
        <w:numPr>
          <w:ilvl w:val="0"/>
          <w:numId w:val="1"/>
        </w:numPr>
        <w:spacing w:after="60"/>
      </w:pPr>
      <w:r>
        <w:rPr>
          <w:sz w:val="22"/>
          <w:szCs w:val="22"/>
        </w:rPr>
        <w:t xml:space="preserve">Communicate containment status to stakeholders</w:t>
      </w:r>
    </w:p>
    <w:p>
      <w:pPr>
        <w:spacing w:after="120"/>
      </w:pPr>
      <w:r>
        <w:rPr>
          <w:sz w:val="22"/>
          <w:szCs w:val="22"/>
        </w:rPr>
        <w:t xml:space="preserve"/>
      </w:r>
    </w:p>
    <w:p>
      <w:pPr>
        <w:pStyle w:val="Heading2"/>
        <w:spacing w:before="300" w:after="100"/>
      </w:pPr>
      <w:r>
        <w:t xml:space="preserve">4.4 Phase 4: Eradication</w:t>
      </w:r>
    </w:p>
    <w:p>
      <w:pPr>
        <w:spacing w:after="120"/>
      </w:pPr>
      <w:r>
        <w:rPr>
          <w:sz w:val="22"/>
          <w:szCs w:val="22"/>
        </w:rPr>
        <w:t xml:space="preserve">Once the threat is contained:</w:t>
      </w:r>
    </w:p>
    <w:p>
      <w:pPr>
        <w:pStyle w:val="ListParagraph"/>
        <w:numPr>
          <w:ilvl w:val="0"/>
          <w:numId w:val="1"/>
        </w:numPr>
        <w:spacing w:after="60"/>
      </w:pPr>
      <w:r>
        <w:rPr>
          <w:sz w:val="22"/>
          <w:szCs w:val="22"/>
        </w:rPr>
        <w:t xml:space="preserve">Identify and remove the root cause (malware, backdoors, compromised credentials)</w:t>
      </w:r>
    </w:p>
    <w:p>
      <w:pPr>
        <w:pStyle w:val="ListParagraph"/>
        <w:numPr>
          <w:ilvl w:val="0"/>
          <w:numId w:val="1"/>
        </w:numPr>
        <w:spacing w:after="60"/>
      </w:pPr>
      <w:r>
        <w:rPr>
          <w:sz w:val="22"/>
          <w:szCs w:val="22"/>
        </w:rPr>
        <w:t xml:space="preserve">Patch exploited vulnerabilities</w:t>
      </w:r>
    </w:p>
    <w:p>
      <w:pPr>
        <w:pStyle w:val="ListParagraph"/>
        <w:numPr>
          <w:ilvl w:val="0"/>
          <w:numId w:val="1"/>
        </w:numPr>
        <w:spacing w:after="60"/>
      </w:pPr>
      <w:r>
        <w:rPr>
          <w:sz w:val="22"/>
          <w:szCs w:val="22"/>
        </w:rPr>
        <w:t xml:space="preserve">Reset all potentially compromised credentials</w:t>
      </w:r>
    </w:p>
    <w:p>
      <w:pPr>
        <w:pStyle w:val="ListParagraph"/>
        <w:numPr>
          <w:ilvl w:val="0"/>
          <w:numId w:val="1"/>
        </w:numPr>
        <w:spacing w:after="60"/>
      </w:pPr>
      <w:r>
        <w:rPr>
          <w:sz w:val="22"/>
          <w:szCs w:val="22"/>
        </w:rPr>
        <w:t xml:space="preserve">Scan all potentially affected systems for indicators of compromise</w:t>
      </w:r>
    </w:p>
    <w:p>
      <w:pPr>
        <w:pStyle w:val="ListParagraph"/>
        <w:numPr>
          <w:ilvl w:val="0"/>
          <w:numId w:val="1"/>
        </w:numPr>
        <w:spacing w:after="60"/>
      </w:pPr>
      <w:r>
        <w:rPr>
          <w:sz w:val="22"/>
          <w:szCs w:val="22"/>
        </w:rPr>
        <w:t xml:space="preserve">Verify that attacker access has been fully revoked</w:t>
      </w:r>
    </w:p>
    <w:p>
      <w:pPr>
        <w:spacing w:after="120"/>
      </w:pPr>
      <w:r>
        <w:rPr>
          <w:sz w:val="22"/>
          <w:szCs w:val="22"/>
        </w:rPr>
        <w:t xml:space="preserve"/>
      </w:r>
    </w:p>
    <w:p>
      <w:pPr>
        <w:pStyle w:val="Heading2"/>
        <w:spacing w:before="300" w:after="100"/>
      </w:pPr>
      <w:r>
        <w:t xml:space="preserve">4.5 Phase 5: Recovery</w:t>
      </w:r>
    </w:p>
    <w:p>
      <w:pPr>
        <w:spacing w:after="120"/>
      </w:pPr>
      <w:r>
        <w:rPr>
          <w:sz w:val="22"/>
          <w:szCs w:val="22"/>
        </w:rPr>
        <w:t xml:space="preserve">Restore normal operations:</w:t>
      </w:r>
    </w:p>
    <w:p>
      <w:pPr>
        <w:pStyle w:val="ListParagraph"/>
        <w:numPr>
          <w:ilvl w:val="0"/>
          <w:numId w:val="1"/>
        </w:numPr>
        <w:spacing w:after="60"/>
      </w:pPr>
      <w:r>
        <w:rPr>
          <w:sz w:val="22"/>
          <w:szCs w:val="22"/>
        </w:rPr>
        <w:t xml:space="preserve">Restore affected systems from known-good backups</w:t>
      </w:r>
    </w:p>
    <w:p>
      <w:pPr>
        <w:pStyle w:val="ListParagraph"/>
        <w:numPr>
          <w:ilvl w:val="0"/>
          <w:numId w:val="1"/>
        </w:numPr>
        <w:spacing w:after="60"/>
      </w:pPr>
      <w:r>
        <w:rPr>
          <w:sz w:val="22"/>
          <w:szCs w:val="22"/>
        </w:rPr>
        <w:t xml:space="preserve">Verify system integrity before returning to production</w:t>
      </w:r>
    </w:p>
    <w:p>
      <w:pPr>
        <w:pStyle w:val="ListParagraph"/>
        <w:numPr>
          <w:ilvl w:val="0"/>
          <w:numId w:val="1"/>
        </w:numPr>
        <w:spacing w:after="60"/>
      </w:pPr>
      <w:r>
        <w:rPr>
          <w:sz w:val="22"/>
          <w:szCs w:val="22"/>
        </w:rPr>
        <w:t xml:space="preserve">Implement enhanced monitoring for recurrence</w:t>
      </w:r>
    </w:p>
    <w:p>
      <w:pPr>
        <w:pStyle w:val="ListParagraph"/>
        <w:numPr>
          <w:ilvl w:val="0"/>
          <w:numId w:val="1"/>
        </w:numPr>
        <w:spacing w:after="60"/>
      </w:pPr>
      <w:r>
        <w:rPr>
          <w:sz w:val="22"/>
          <w:szCs w:val="22"/>
        </w:rPr>
        <w:t xml:space="preserve">Gradually restore services, starting with the most critical</w:t>
      </w:r>
    </w:p>
    <w:p>
      <w:pPr>
        <w:pStyle w:val="ListParagraph"/>
        <w:numPr>
          <w:ilvl w:val="0"/>
          <w:numId w:val="1"/>
        </w:numPr>
        <w:spacing w:after="60"/>
      </w:pPr>
      <w:r>
        <w:rPr>
          <w:sz w:val="22"/>
          <w:szCs w:val="22"/>
        </w:rPr>
        <w:t xml:space="preserve">Confirm with business owners that services are functioning normally</w:t>
      </w:r>
    </w:p>
    <w:p>
      <w:pPr>
        <w:spacing w:after="120"/>
      </w:pPr>
      <w:r>
        <w:rPr>
          <w:sz w:val="22"/>
          <w:szCs w:val="22"/>
        </w:rPr>
        <w:t xml:space="preserve"/>
      </w:r>
    </w:p>
    <w:p>
      <w:pPr>
        <w:pStyle w:val="Heading2"/>
        <w:spacing w:before="300" w:after="100"/>
      </w:pPr>
      <w:r>
        <w:t xml:space="preserve">4.6 Phase 6: Lessons Learned</w:t>
      </w:r>
    </w:p>
    <w:p>
      <w:pPr>
        <w:spacing w:after="120"/>
      </w:pPr>
      <w:r>
        <w:rPr>
          <w:sz w:val="22"/>
          <w:szCs w:val="22"/>
        </w:rPr>
        <w:t xml:space="preserve">Within two weeks of incident closure:</w:t>
      </w:r>
    </w:p>
    <w:p>
      <w:pPr>
        <w:pStyle w:val="ListParagraph"/>
        <w:numPr>
          <w:ilvl w:val="0"/>
          <w:numId w:val="1"/>
        </w:numPr>
        <w:spacing w:after="60"/>
      </w:pPr>
      <w:r>
        <w:rPr>
          <w:sz w:val="22"/>
          <w:szCs w:val="22"/>
        </w:rPr>
        <w:t xml:space="preserve">Conduct a blameless post-incident review with all involved parties</w:t>
      </w:r>
    </w:p>
    <w:p>
      <w:pPr>
        <w:pStyle w:val="ListParagraph"/>
        <w:numPr>
          <w:ilvl w:val="0"/>
          <w:numId w:val="1"/>
        </w:numPr>
        <w:spacing w:after="60"/>
      </w:pPr>
      <w:r>
        <w:rPr>
          <w:sz w:val="22"/>
          <w:szCs w:val="22"/>
        </w:rPr>
        <w:t xml:space="preserve">Document: What happened? When was it detected? How effective was the response? What could be improved?</w:t>
      </w:r>
    </w:p>
    <w:p>
      <w:pPr>
        <w:pStyle w:val="ListParagraph"/>
        <w:numPr>
          <w:ilvl w:val="0"/>
          <w:numId w:val="1"/>
        </w:numPr>
        <w:spacing w:after="60"/>
      </w:pPr>
      <w:r>
        <w:rPr>
          <w:sz w:val="22"/>
          <w:szCs w:val="22"/>
        </w:rPr>
        <w:t xml:space="preserve">Generate specific action items with owners and deadlines</w:t>
      </w:r>
    </w:p>
    <w:p>
      <w:pPr>
        <w:pStyle w:val="ListParagraph"/>
        <w:numPr>
          <w:ilvl w:val="0"/>
          <w:numId w:val="1"/>
        </w:numPr>
        <w:spacing w:after="60"/>
      </w:pPr>
      <w:r>
        <w:rPr>
          <w:sz w:val="22"/>
          <w:szCs w:val="22"/>
        </w:rPr>
        <w:t xml:space="preserve">Update this IRP based on findings</w:t>
      </w:r>
    </w:p>
    <w:p>
      <w:pPr>
        <w:pStyle w:val="ListParagraph"/>
        <w:numPr>
          <w:ilvl w:val="0"/>
          <w:numId w:val="1"/>
        </w:numPr>
        <w:spacing w:after="60"/>
      </w:pPr>
      <w:r>
        <w:rPr>
          <w:sz w:val="22"/>
          <w:szCs w:val="22"/>
        </w:rPr>
        <w:t xml:space="preserve">Share relevant lessons (appropriately sanitised) with the wider organisation</w:t>
      </w:r>
    </w:p>
    <w:p>
      <w:pPr>
        <w:spacing w:after="120"/>
      </w:pPr>
      <w:r>
        <w:rPr>
          <w:sz w:val="22"/>
          <w:szCs w:val="22"/>
        </w:rPr>
        <w:t xml:space="preserve"/>
      </w:r>
    </w:p>
    <w:p>
      <w:pPr>
        <w:pStyle w:val="Heading1"/>
        <w:spacing w:before="400" w:after="120"/>
      </w:pPr>
      <w:r>
        <w:t xml:space="preserve">5. Communication Templates</w:t>
      </w:r>
    </w:p>
    <w:p>
      <w:pPr>
        <w:pStyle w:val="Heading2"/>
        <w:spacing w:before="300" w:after="100"/>
      </w:pPr>
      <w:r>
        <w:t xml:space="preserve">5.1 Internal Escalation (Executive Summary)</w:t>
      </w:r>
    </w:p>
    <w:p>
      <w:pPr>
        <w:spacing w:after="120"/>
      </w:pPr>
      <w:r>
        <w:rPr>
          <w:sz w:val="22"/>
          <w:szCs w:val="22"/>
        </w:rPr>
        <w:t xml:space="preserve">[Date/Time]: Incident Summary
Severity: [P1/P2/P3/P4]
Systems Affected: [List]
Data Impact: [Description of data potentially affected]
Current Status: [Detection/Containment/Eradication/Recovery]
Actions Taken: [Summary]
Next Steps: [Planned actions]
Estimated Resolution: [Timeframe]</w:t>
      </w:r>
    </w:p>
    <w:p>
      <w:pPr>
        <w:spacing w:after="120"/>
      </w:pPr>
      <w:r>
        <w:rPr>
          <w:sz w:val="22"/>
          <w:szCs w:val="22"/>
        </w:rPr>
        <w:t xml:space="preserve"/>
      </w:r>
    </w:p>
    <w:p>
      <w:pPr>
        <w:pStyle w:val="Heading2"/>
        <w:spacing w:before="300" w:after="100"/>
      </w:pPr>
      <w:r>
        <w:t xml:space="preserve">5.2 Regulatory Notification (GDPR Article 33)</w:t>
      </w:r>
    </w:p>
    <w:p>
      <w:pPr>
        <w:spacing w:after="120"/>
      </w:pPr>
      <w:r>
        <w:rPr>
          <w:sz w:val="22"/>
          <w:szCs w:val="22"/>
        </w:rPr>
        <w:t xml:space="preserve">To: [Supervisory Authority]
Deadline: Within 72 hours of becoming aware of the breach
1. Nature of the breach: [Description including categories and approximate number of data subjects and records affected]
2. DPO contact: [Name, email, phone]
3. Likely consequences: [Description of likely impact on data subjects]
4. Measures taken: [Actions taken or proposed to address the breach and mitigate effects]</w:t>
      </w:r>
    </w:p>
    <w:p>
      <w:pPr>
        <w:spacing w:after="120"/>
      </w:pPr>
      <w:r>
        <w:rPr>
          <w:sz w:val="22"/>
          <w:szCs w:val="22"/>
        </w:rPr>
        <w:t xml:space="preserve"/>
      </w:r>
    </w:p>
    <w:p>
      <w:pPr>
        <w:pStyle w:val="Heading2"/>
        <w:spacing w:before="300" w:after="100"/>
      </w:pPr>
      <w:r>
        <w:t xml:space="preserve">5.3 Customer Notification</w:t>
      </w:r>
    </w:p>
    <w:p>
      <w:pPr>
        <w:spacing w:after="120"/>
      </w:pPr>
      <w:r>
        <w:rPr>
          <w:sz w:val="22"/>
          <w:szCs w:val="22"/>
        </w:rPr>
        <w:t xml:space="preserve">Subject: Security Incident Notification
Dear [Customer],
We are writing to inform you of a security incident that may have affected your data. [Description of what happened, when it was discovered, and what data was involved].
What we have done: [Actions taken to contain and remediate]
What you should do: [Recommended actions for the customer]
Ongoing measures: [Steps being taken to prevent recurrence]
If you have questions, contact [dedicated contact/email/phone].
[Signature]</w:t>
      </w:r>
    </w:p>
    <w:p>
      <w:pPr>
        <w:spacing w:after="120"/>
      </w:pPr>
      <w:r>
        <w:rPr>
          <w:sz w:val="22"/>
          <w:szCs w:val="22"/>
        </w:rPr>
        <w:t xml:space="preserve"/>
      </w:r>
    </w:p>
    <w:p>
      <w:pPr>
        <w:pStyle w:val="Heading1"/>
        <w:spacing w:before="400" w:after="120"/>
      </w:pPr>
      <w:r>
        <w:t xml:space="preserve">6. Tabletop Exercise Scenarios</w:t>
      </w:r>
    </w:p>
    <w:p>
      <w:pPr>
        <w:spacing w:after="120"/>
      </w:pPr>
      <w:r>
        <w:rPr>
          <w:sz w:val="22"/>
          <w:szCs w:val="22"/>
        </w:rPr>
        <w:t xml:space="preserve">Run these exercises at least annually. The facilitator reads the scenario, then walks the team through the response procedures.</w:t>
      </w:r>
    </w:p>
    <w:p>
      <w:pPr>
        <w:pStyle w:val="Heading2"/>
        <w:spacing w:before="300" w:after="100"/>
      </w:pPr>
      <w:r>
        <w:t xml:space="preserve">6.1 Scenario: Ransomware Attack</w:t>
      </w:r>
    </w:p>
    <w:p>
      <w:pPr>
        <w:spacing w:after="120"/>
      </w:pPr>
      <w:r>
        <w:rPr>
          <w:sz w:val="22"/>
          <w:szCs w:val="22"/>
        </w:rPr>
        <w:t xml:space="preserve">Situation: On Monday morning, multiple employees report they cannot access files on the shared drive. The IT team discovers that files across three file servers have been encrypted and a ransom note demands 5 BTC. The attackers claim to have exfiltrated customer data before encrypting.</w:t>
      </w:r>
    </w:p>
    <w:p>
      <w:pPr>
        <w:spacing w:after="120"/>
      </w:pPr>
      <w:r>
        <w:rPr>
          <w:sz w:val="22"/>
          <w:szCs w:val="22"/>
        </w:rPr>
        <w:t xml:space="preserve">Discussion points: How do we classify this incident? Who do we call first? Do we pay the ransom? How do we verify whether data was actually exfiltrated? What are our regulatory notification obligations? How do we communicate with customers?</w:t>
      </w:r>
    </w:p>
    <w:p>
      <w:pPr>
        <w:spacing w:after="120"/>
      </w:pPr>
      <w:r>
        <w:rPr>
          <w:sz w:val="22"/>
          <w:szCs w:val="22"/>
        </w:rPr>
        <w:t xml:space="preserve"/>
      </w:r>
    </w:p>
    <w:p>
      <w:pPr>
        <w:pStyle w:val="Heading2"/>
        <w:spacing w:before="300" w:after="100"/>
      </w:pPr>
      <w:r>
        <w:t xml:space="preserve">6.2 Scenario: Insider Data Theft</w:t>
      </w:r>
    </w:p>
    <w:p>
      <w:pPr>
        <w:spacing w:after="120"/>
      </w:pPr>
      <w:r>
        <w:rPr>
          <w:sz w:val="22"/>
          <w:szCs w:val="22"/>
        </w:rPr>
        <w:t xml:space="preserve">Situation: A departing employee in the sales department downloaded the entire customer database to a personal USB drive on their last day. The data loss prevention alert was missed for 48 hours. The database contains names, email addresses, phone numbers, and contract values for 15,000 customers.</w:t>
      </w:r>
    </w:p>
    <w:p>
      <w:pPr>
        <w:spacing w:after="120"/>
      </w:pPr>
      <w:r>
        <w:rPr>
          <w:sz w:val="22"/>
          <w:szCs w:val="22"/>
        </w:rPr>
        <w:t xml:space="preserve">Discussion points: Is this a data breach? What containment options do we have after 48 hours? Do we contact the former employee directly? What legal actions are available? Do we need to notify the supervisory authority?</w:t>
      </w:r>
    </w:p>
    <w:p>
      <w:pPr>
        <w:spacing w:after="120"/>
      </w:pPr>
      <w:r>
        <w:rPr>
          <w:sz w:val="22"/>
          <w:szCs w:val="22"/>
        </w:rPr>
        <w:t xml:space="preserve"/>
      </w:r>
    </w:p>
    <w:p>
      <w:pPr>
        <w:pStyle w:val="Heading2"/>
        <w:spacing w:before="300" w:after="100"/>
      </w:pPr>
      <w:r>
        <w:t xml:space="preserve">6.3 Scenario: Supply Chain Compromise</w:t>
      </w:r>
    </w:p>
    <w:p>
      <w:pPr>
        <w:spacing w:after="120"/>
      </w:pPr>
      <w:r>
        <w:rPr>
          <w:sz w:val="22"/>
          <w:szCs w:val="22"/>
        </w:rPr>
        <w:t xml:space="preserve">Situation: A critical SaaS vendor used by the finance team sends an urgent notification that their systems were compromised and that customer data may have been accessed. They cannot confirm the scope of the breach yet. Your organisation shares financial data and employee payroll information with this vendor.</w:t>
      </w:r>
    </w:p>
    <w:p>
      <w:pPr>
        <w:spacing w:after="120"/>
      </w:pPr>
      <w:r>
        <w:rPr>
          <w:sz w:val="22"/>
          <w:szCs w:val="22"/>
        </w:rPr>
        <w:t xml:space="preserve">Discussion points: How do we assess the impact on our organisation? What information do we need from the vendor? Do we disconnect from the vendor immediately? What are our notification obligations? How do we handle the vendor relationship going forward?</w:t>
      </w:r>
    </w:p>
    <w:p>
      <w:pPr>
        <w:pStyle w:val="Heading1"/>
        <w:spacing w:before="400" w:after="120"/>
      </w:pPr>
      <w:r>
        <w:t xml:space="preserve">Appendix A: Regulatory Notification Timelines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fill="1E293B" w:color="1E293B" w:val="solid"/>
          </w:tcPr>
          <w:p>
            <w:r>
              <w:rPr>
                <w:rFonts w:ascii="Calibri" w:cs="Calibri" w:eastAsia="Calibri" w:hAnsi="Calibri"/>
                <w:b/>
                <w:bCs/>
                <w:color w:val="FFFFFF"/>
                <w:sz w:val="20"/>
                <w:szCs w:val="20"/>
              </w:rPr>
              <w:t xml:space="preserve">Regulation</w:t>
            </w:r>
          </w:p>
        </w:tc>
        <w:tc>
          <w:tcPr>
            <w:tcW w:type="pct" w:w="25%"/>
            <w:shd w:fill="1E293B" w:color="1E293B" w:val="solid"/>
          </w:tcPr>
          <w:p>
            <w:r>
              <w:rPr>
                <w:rFonts w:ascii="Calibri" w:cs="Calibri" w:eastAsia="Calibri" w:hAnsi="Calibri"/>
                <w:b/>
                <w:bCs/>
                <w:color w:val="FFFFFF"/>
                <w:sz w:val="20"/>
                <w:szCs w:val="20"/>
              </w:rPr>
              <w:t xml:space="preserve">Authority Notification</w:t>
            </w:r>
          </w:p>
        </w:tc>
        <w:tc>
          <w:tcPr>
            <w:tcW w:type="pct" w:w="25%"/>
            <w:shd w:fill="1E293B" w:color="1E293B" w:val="solid"/>
          </w:tcPr>
          <w:p>
            <w:r>
              <w:rPr>
                <w:rFonts w:ascii="Calibri" w:cs="Calibri" w:eastAsia="Calibri" w:hAnsi="Calibri"/>
                <w:b/>
                <w:bCs/>
                <w:color w:val="FFFFFF"/>
                <w:sz w:val="20"/>
                <w:szCs w:val="20"/>
              </w:rPr>
              <w:t xml:space="preserve">Individual Notification</w:t>
            </w:r>
          </w:p>
        </w:tc>
        <w:tc>
          <w:tcPr>
            <w:tcW w:type="pct" w:w="25%"/>
            <w:shd w:fill="1E293B" w:color="1E293B" w:val="solid"/>
          </w:tcPr>
          <w:p>
            <w:r>
              <w:rPr>
                <w:rFonts w:ascii="Calibri" w:cs="Calibri" w:eastAsia="Calibri" w:hAnsi="Calibri"/>
                <w:b/>
                <w:bCs/>
                <w:color w:val="FFFFFF"/>
                <w:sz w:val="20"/>
                <w:szCs w:val="20"/>
              </w:rPr>
              <w:t xml:space="preserve">Notes</w:t>
            </w:r>
          </w:p>
        </w:tc>
      </w:tr>
      <w:tr>
        <w:tc>
          <w:tcPr>
            <w:tcW w:type="pct" w:w="25%"/>
          </w:tcPr>
          <w:p>
            <w:r>
              <w:rPr>
                <w:rFonts w:ascii="Calibri" w:cs="Calibri" w:eastAsia="Calibri" w:hAnsi="Calibri"/>
                <w:b w:val="false"/>
                <w:bCs w:val="false"/>
                <w:color w:val="1E293B"/>
                <w:sz w:val="20"/>
                <w:szCs w:val="20"/>
              </w:rPr>
              <w:t xml:space="preserve">GDPR</w:t>
            </w:r>
          </w:p>
        </w:tc>
        <w:tc>
          <w:tcPr>
            <w:tcW w:type="pct" w:w="25%"/>
          </w:tcPr>
          <w:p>
            <w:r>
              <w:rPr>
                <w:rFonts w:ascii="Calibri" w:cs="Calibri" w:eastAsia="Calibri" w:hAnsi="Calibri"/>
                <w:b w:val="false"/>
                <w:bCs w:val="false"/>
                <w:color w:val="1E293B"/>
                <w:sz w:val="20"/>
                <w:szCs w:val="20"/>
              </w:rPr>
              <w:t xml:space="preserve">72 hours</w:t>
            </w:r>
          </w:p>
        </w:tc>
        <w:tc>
          <w:tcPr>
            <w:tcW w:type="pct" w:w="25%"/>
          </w:tcPr>
          <w:p>
            <w:r>
              <w:rPr>
                <w:rFonts w:ascii="Calibri" w:cs="Calibri" w:eastAsia="Calibri" w:hAnsi="Calibri"/>
                <w:b w:val="false"/>
                <w:bCs w:val="false"/>
                <w:color w:val="1E293B"/>
                <w:sz w:val="20"/>
                <w:szCs w:val="20"/>
              </w:rPr>
              <w:t xml:space="preserve">Without undue delay (if high risk)</w:t>
            </w:r>
          </w:p>
        </w:tc>
        <w:tc>
          <w:tcPr>
            <w:tcW w:type="pct" w:w="25%"/>
          </w:tcPr>
          <w:p>
            <w:r>
              <w:rPr>
                <w:rFonts w:ascii="Calibri" w:cs="Calibri" w:eastAsia="Calibri" w:hAnsi="Calibri"/>
                <w:b w:val="false"/>
                <w:bCs w:val="false"/>
                <w:color w:val="1E293B"/>
                <w:sz w:val="20"/>
                <w:szCs w:val="20"/>
              </w:rPr>
              <w:t xml:space="preserve">To lead supervisory authority</w:t>
            </w:r>
          </w:p>
        </w:tc>
      </w:tr>
      <w:tr>
        <w:tc>
          <w:tcPr>
            <w:tcW w:type="pct" w:w="25%"/>
            <w:shd w:fill="F8FAFC" w:color="F8FAFC" w:val="solid"/>
          </w:tcPr>
          <w:p>
            <w:r>
              <w:rPr>
                <w:rFonts w:ascii="Calibri" w:cs="Calibri" w:eastAsia="Calibri" w:hAnsi="Calibri"/>
                <w:b w:val="false"/>
                <w:bCs w:val="false"/>
                <w:color w:val="1E293B"/>
                <w:sz w:val="20"/>
                <w:szCs w:val="20"/>
              </w:rPr>
              <w:t xml:space="preserve">NIS2</w:t>
            </w:r>
          </w:p>
        </w:tc>
        <w:tc>
          <w:tcPr>
            <w:tcW w:type="pct" w:w="25%"/>
            <w:shd w:fill="F8FAFC" w:color="F8FAFC" w:val="solid"/>
          </w:tcPr>
          <w:p>
            <w:r>
              <w:rPr>
                <w:rFonts w:ascii="Calibri" w:cs="Calibri" w:eastAsia="Calibri" w:hAnsi="Calibri"/>
                <w:b w:val="false"/>
                <w:bCs w:val="false"/>
                <w:color w:val="1E293B"/>
                <w:sz w:val="20"/>
                <w:szCs w:val="20"/>
              </w:rPr>
              <w:t xml:space="preserve">24h early warning, 72h full notification</w:t>
            </w:r>
          </w:p>
        </w:tc>
        <w:tc>
          <w:tcPr>
            <w:tcW w:type="pct" w:w="25%"/>
            <w:shd w:fill="F8FAFC" w:color="F8FAFC" w:val="solid"/>
          </w:tcPr>
          <w:p>
            <w:r>
              <w:rPr>
                <w:rFonts w:ascii="Calibri" w:cs="Calibri" w:eastAsia="Calibri" w:hAnsi="Calibri"/>
                <w:b w:val="false"/>
                <w:bCs w:val="false"/>
                <w:color w:val="1E293B"/>
                <w:sz w:val="20"/>
                <w:szCs w:val="20"/>
              </w:rPr>
              <w:t xml:space="preserve">Without undue delay</w:t>
            </w:r>
          </w:p>
        </w:tc>
        <w:tc>
          <w:tcPr>
            <w:tcW w:type="pct" w:w="25%"/>
            <w:shd w:fill="F8FAFC" w:color="F8FAFC" w:val="solid"/>
          </w:tcPr>
          <w:p>
            <w:r>
              <w:rPr>
                <w:rFonts w:ascii="Calibri" w:cs="Calibri" w:eastAsia="Calibri" w:hAnsi="Calibri"/>
                <w:b w:val="false"/>
                <w:bCs w:val="false"/>
                <w:color w:val="1E293B"/>
                <w:sz w:val="20"/>
                <w:szCs w:val="20"/>
              </w:rPr>
              <w:t xml:space="preserve">To CSIRT and competent authority</w:t>
            </w:r>
          </w:p>
        </w:tc>
      </w:tr>
      <w:tr>
        <w:tc>
          <w:tcPr>
            <w:tcW w:type="pct" w:w="25%"/>
          </w:tcPr>
          <w:p>
            <w:r>
              <w:rPr>
                <w:rFonts w:ascii="Calibri" w:cs="Calibri" w:eastAsia="Calibri" w:hAnsi="Calibri"/>
                <w:b w:val="false"/>
                <w:bCs w:val="false"/>
                <w:color w:val="1E293B"/>
                <w:sz w:val="20"/>
                <w:szCs w:val="20"/>
              </w:rPr>
              <w:t xml:space="preserve">UK GDPR</w:t>
            </w:r>
          </w:p>
        </w:tc>
        <w:tc>
          <w:tcPr>
            <w:tcW w:type="pct" w:w="25%"/>
          </w:tcPr>
          <w:p>
            <w:r>
              <w:rPr>
                <w:rFonts w:ascii="Calibri" w:cs="Calibri" w:eastAsia="Calibri" w:hAnsi="Calibri"/>
                <w:b w:val="false"/>
                <w:bCs w:val="false"/>
                <w:color w:val="1E293B"/>
                <w:sz w:val="20"/>
                <w:szCs w:val="20"/>
              </w:rPr>
              <w:t xml:space="preserve">72 hours</w:t>
            </w:r>
          </w:p>
        </w:tc>
        <w:tc>
          <w:tcPr>
            <w:tcW w:type="pct" w:w="25%"/>
          </w:tcPr>
          <w:p>
            <w:r>
              <w:rPr>
                <w:rFonts w:ascii="Calibri" w:cs="Calibri" w:eastAsia="Calibri" w:hAnsi="Calibri"/>
                <w:b w:val="false"/>
                <w:bCs w:val="false"/>
                <w:color w:val="1E293B"/>
                <w:sz w:val="20"/>
                <w:szCs w:val="20"/>
              </w:rPr>
              <w:t xml:space="preserve">Without undue delay (if high risk)</w:t>
            </w:r>
          </w:p>
        </w:tc>
        <w:tc>
          <w:tcPr>
            <w:tcW w:type="pct" w:w="25%"/>
          </w:tcPr>
          <w:p>
            <w:r>
              <w:rPr>
                <w:rFonts w:ascii="Calibri" w:cs="Calibri" w:eastAsia="Calibri" w:hAnsi="Calibri"/>
                <w:b w:val="false"/>
                <w:bCs w:val="false"/>
                <w:color w:val="1E293B"/>
                <w:sz w:val="20"/>
                <w:szCs w:val="20"/>
              </w:rPr>
              <w:t xml:space="preserve">To ICO</w:t>
            </w:r>
          </w:p>
        </w:tc>
      </w:tr>
      <w:tr>
        <w:tc>
          <w:tcPr>
            <w:tcW w:type="pct" w:w="25%"/>
            <w:shd w:fill="F8FAFC" w:color="F8FAFC" w:val="solid"/>
          </w:tcPr>
          <w:p>
            <w:r>
              <w:rPr>
                <w:rFonts w:ascii="Calibri" w:cs="Calibri" w:eastAsia="Calibri" w:hAnsi="Calibri"/>
                <w:b w:val="false"/>
                <w:bCs w:val="false"/>
                <w:color w:val="1E293B"/>
                <w:sz w:val="20"/>
                <w:szCs w:val="20"/>
              </w:rPr>
              <w:t xml:space="preserve">HIPAA (US)</w:t>
            </w:r>
          </w:p>
        </w:tc>
        <w:tc>
          <w:tcPr>
            <w:tcW w:type="pct" w:w="25%"/>
            <w:shd w:fill="F8FAFC" w:color="F8FAFC" w:val="solid"/>
          </w:tcPr>
          <w:p>
            <w:r>
              <w:rPr>
                <w:rFonts w:ascii="Calibri" w:cs="Calibri" w:eastAsia="Calibri" w:hAnsi="Calibri"/>
                <w:b w:val="false"/>
                <w:bCs w:val="false"/>
                <w:color w:val="1E293B"/>
                <w:sz w:val="20"/>
                <w:szCs w:val="20"/>
              </w:rPr>
              <w:t xml:space="preserve">60 days</w:t>
            </w:r>
          </w:p>
        </w:tc>
        <w:tc>
          <w:tcPr>
            <w:tcW w:type="pct" w:w="25%"/>
            <w:shd w:fill="F8FAFC" w:color="F8FAFC" w:val="solid"/>
          </w:tcPr>
          <w:p>
            <w:r>
              <w:rPr>
                <w:rFonts w:ascii="Calibri" w:cs="Calibri" w:eastAsia="Calibri" w:hAnsi="Calibri"/>
                <w:b w:val="false"/>
                <w:bCs w:val="false"/>
                <w:color w:val="1E293B"/>
                <w:sz w:val="20"/>
                <w:szCs w:val="20"/>
              </w:rPr>
              <w:t xml:space="preserve">60 days</w:t>
            </w:r>
          </w:p>
        </w:tc>
        <w:tc>
          <w:tcPr>
            <w:tcW w:type="pct" w:w="25%"/>
            <w:shd w:fill="F8FAFC" w:color="F8FAFC" w:val="solid"/>
          </w:tcPr>
          <w:p>
            <w:r>
              <w:rPr>
                <w:rFonts w:ascii="Calibri" w:cs="Calibri" w:eastAsia="Calibri" w:hAnsi="Calibri"/>
                <w:b w:val="false"/>
                <w:bCs w:val="false"/>
                <w:color w:val="1E293B"/>
                <w:sz w:val="20"/>
                <w:szCs w:val="20"/>
              </w:rPr>
              <w:t xml:space="preserve">To HHS OCR if 500+ individuals</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Calibri" w:cs="Calibri" w:eastAsia="Calibri" w:hAnsi="Calibri"/>
      <w:b/>
      <w:bCs/>
      <w:color w:val="1E293B"/>
      <w:sz w:val="32"/>
      <w:szCs w:val="32"/>
    </w:rPr>
  </w:style>
  <w:style w:type="paragraph" w:styleId="Heading2">
    <w:name w:val="Heading 2"/>
    <w:basedOn w:val="Normal"/>
    <w:next w:val="Normal"/>
    <w:qFormat/>
    <w:rPr>
      <w:rFonts w:ascii="Calibri" w:cs="Calibri" w:eastAsia="Calibri" w:hAnsi="Calibri"/>
      <w:b/>
      <w:bCs/>
      <w:color w:val="334155"/>
      <w:sz w:val="26"/>
      <w:szCs w:val="26"/>
    </w:rPr>
  </w:style>
  <w:style w:type="paragraph" w:styleId="Heading3">
    <w:name w:val="Heading 3"/>
    <w:basedOn w:val="Normal"/>
    <w:next w:val="Normal"/>
    <w:qFormat/>
    <w:rPr>
      <w:rFonts w:ascii="Calibri" w:cs="Calibri" w:eastAsia="Calibri" w:hAnsi="Calibri"/>
      <w:b/>
      <w:bCs/>
      <w:color w:val="475569"/>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Plan</dc:title>
  <dc:creator>AuditFront</dc:creator>
  <cp:lastModifiedBy>Un-named</cp:lastModifiedBy>
  <cp:revision>1</cp:revision>
  <dcterms:created xsi:type="dcterms:W3CDTF">2026-02-19T15:29:56.084Z</dcterms:created>
  <dcterms:modified xsi:type="dcterms:W3CDTF">2026-02-19T15:29:56.084Z</dcterms:modified>
</cp:coreProperties>
</file>

<file path=docProps/custom.xml><?xml version="1.0" encoding="utf-8"?>
<Properties xmlns="http://schemas.openxmlformats.org/officeDocument/2006/custom-properties" xmlns:vt="http://schemas.openxmlformats.org/officeDocument/2006/docPropsVTypes"/>
</file>